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"/>
        <w:gridCol w:w="8767"/>
      </w:tblGrid>
      <w:tr w:rsidR="00C8137D" w:rsidRPr="00C8137D" w:rsidTr="00291BAB">
        <w:trPr>
          <w:jc w:val="center"/>
        </w:trPr>
        <w:tc>
          <w:tcPr>
            <w:tcW w:w="50" w:type="dxa"/>
            <w:hideMark/>
          </w:tcPr>
          <w:p w:rsidR="008E642B" w:rsidRDefault="008E642B" w:rsidP="00C8137D">
            <w:pPr>
              <w:rPr>
                <w:noProof/>
                <w:sz w:val="18"/>
                <w:szCs w:val="18"/>
              </w:rPr>
            </w:pPr>
          </w:p>
          <w:p w:rsidR="00C8137D" w:rsidRPr="00C8137D" w:rsidRDefault="00C8137D" w:rsidP="00C8137D">
            <w:pPr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</w:tc>
        <w:tc>
          <w:tcPr>
            <w:tcW w:w="8752" w:type="dxa"/>
            <w:hideMark/>
          </w:tcPr>
          <w:p w:rsidR="006663E1" w:rsidRPr="00291BAB" w:rsidRDefault="006663E1" w:rsidP="006663E1"/>
          <w:p w:rsidR="006663E1" w:rsidRDefault="006663E1" w:rsidP="006663E1">
            <w:r>
              <w:t xml:space="preserve">O </w:t>
            </w:r>
            <w:r>
              <w:rPr>
                <w:rStyle w:val="Forte"/>
              </w:rPr>
              <w:t>Protocolo de Montreal</w:t>
            </w:r>
            <w:r>
              <w:t xml:space="preserve"> sobre Substâncias que Destroem a Camada de Ozônio é um acordo </w:t>
            </w:r>
            <w:hyperlink r:id="rId7" w:history="1">
              <w:r>
                <w:rPr>
                  <w:rStyle w:val="Hyperlink"/>
                </w:rPr>
                <w:t>internacional</w:t>
              </w:r>
            </w:hyperlink>
            <w:r>
              <w:t xml:space="preserve">, criado no âmbito da Convenção de Viena para a Proteção da Camada de Ozônio de 1985 (onde os países se comprometeram em trocar informações, </w:t>
            </w:r>
            <w:hyperlink r:id="rId8" w:history="1">
              <w:r>
                <w:rPr>
                  <w:rStyle w:val="Hyperlink"/>
                </w:rPr>
                <w:t>estudar</w:t>
              </w:r>
            </w:hyperlink>
            <w:r>
              <w:t xml:space="preserve"> e proteger a camada de ozônio), ao qual o Brasil aderiu em 1990, por meio do Decreto n.º 99.280 de 06/06/90, comprometendo-se a eliminar o CFC (cloro-</w:t>
            </w:r>
            <w:hyperlink r:id="rId9" w:history="1">
              <w:r>
                <w:rPr>
                  <w:rStyle w:val="Hyperlink"/>
                </w:rPr>
                <w:t>flúor</w:t>
              </w:r>
            </w:hyperlink>
            <w:r>
              <w:t>-carbono) completamente até 2010.</w:t>
            </w:r>
          </w:p>
          <w:p w:rsidR="006663E1" w:rsidRDefault="006663E1" w:rsidP="006663E1">
            <w:pPr>
              <w:pStyle w:val="NormalWeb"/>
            </w:pPr>
            <w:r>
              <w:t>O Protocolo de Montreal é composto por cinco acordos firmados em Montreal, Canadá, em 16 de setembro de 1987. Durante dois anos o protocolo esteve aberto às assinaturas pelos países, recebendo a adesão de 46 governos que se comprometeram em reduzir em 50% a produção e consumo de CFCs até o ano 2000 e o abandono total da produção e do consumo de halons até 1992.</w:t>
            </w:r>
          </w:p>
          <w:p w:rsidR="006663E1" w:rsidRDefault="006663E1" w:rsidP="006663E1">
            <w:pPr>
              <w:pStyle w:val="NormalWeb"/>
            </w:pPr>
            <w:r>
              <w:t xml:space="preserve">Até 1999 o Protocolo de Montreal havia passado por cinco revisões onde recebeu algumas emendas: em 1990 na reunião em Londres, Inglaterra, foi aceita a emenda (Emenda de Londres) pela qual as partes concordaram em abandonar totalmente a produção e consumo de CFCs até 2000 (até então o acordo era de reduzir em 50%). Nesta reunião também foi criado um fundo para ajudar financeiramente a implementação do Protocolo pelas partes (Fundo Multilateral para a Implementação do Protocolo de Montreal); em 1992 na reunião em Copenhagen, Dinamarca, ficou acordado o banimento total da produção e utilização dos HCFCs até 2030, que estavam sendo utilizados como substitutos dos CFCs, a meta do banimento dos CFCs foi antecipada para 1996 e, também, houve o congelamento da produção e consumo dos brometos de metila até 1995; em 1997 em Montreal, ficou acordado através de uma nova emenda o banimento do brometo de metila pelos países industrializados até 2005 e o mesmo para os países em </w:t>
            </w:r>
            <w:hyperlink r:id="rId10" w:history="1">
              <w:r>
                <w:rPr>
                  <w:rStyle w:val="Hyperlink"/>
                </w:rPr>
                <w:t>desenvolvimento</w:t>
              </w:r>
            </w:hyperlink>
            <w:r>
              <w:t xml:space="preserve"> até 2015. Como ainda era, utilizados os CFC, instituiu-se uma licença para fins de exportação e importação da substância; em 1999 em Beijing, na China, foi feito o reabastecimento do Fundo Multilateral.</w:t>
            </w:r>
          </w:p>
          <w:p w:rsidR="006663E1" w:rsidRDefault="006663E1" w:rsidP="006663E1">
            <w:pPr>
              <w:pStyle w:val="NormalWeb"/>
            </w:pPr>
            <w:r>
              <w:t>Foi fruto das reuniões sobre o Protocolo, também, a criação do Dia Internacional de Proteção a Camada de Ozônio em 16 de setembro, aprovado por resolução da Assembléia Geral das Nações Unidas em 1995.</w:t>
            </w:r>
          </w:p>
          <w:p w:rsidR="006663E1" w:rsidRDefault="006663E1" w:rsidP="006663E1">
            <w:pPr>
              <w:pStyle w:val="NormalWeb"/>
            </w:pPr>
            <w:r>
              <w:t xml:space="preserve">No Brasil, a primeira ação para combater as Substâncias Destruidoras da Camada de ozônio (SDOs), antes mesmo da ratificação do Protocolo, foi a publicação da Portaria 01 de 10/08/88 pela então Secretaria Nacional de Vigilância Sanitária, mais tarde substituída pela </w:t>
            </w:r>
            <w:hyperlink r:id="rId11" w:history="1">
              <w:r>
                <w:rPr>
                  <w:rStyle w:val="Hyperlink"/>
                </w:rPr>
                <w:t>Anvisa</w:t>
              </w:r>
            </w:hyperlink>
            <w:r>
              <w:t>. Esta portaria regulamentou as embalagens de aerossóis livres de CFC. No mesmo ano o Ministério da Saúde proibiu o uso de CFCs em produtos cosméticos, de higiene e perfumes.</w:t>
            </w:r>
          </w:p>
          <w:p w:rsidR="006663E1" w:rsidRDefault="006663E1" w:rsidP="006663E1">
            <w:pPr>
              <w:pStyle w:val="NormalWeb"/>
            </w:pPr>
          </w:p>
          <w:p w:rsidR="00AD3CEF" w:rsidRDefault="00AD3CEF" w:rsidP="006663E1">
            <w:pPr>
              <w:pStyle w:val="NormalWeb"/>
            </w:pPr>
          </w:p>
          <w:p w:rsidR="006663E1" w:rsidRDefault="006663E1" w:rsidP="006663E1">
            <w:pPr>
              <w:pStyle w:val="NormalWeb"/>
            </w:pPr>
            <w:r>
              <w:t xml:space="preserve">Em 1991, após a ratificação do Protocolo foi criado o GTO, Grupo de </w:t>
            </w:r>
            <w:hyperlink r:id="rId12" w:history="1">
              <w:r>
                <w:rPr>
                  <w:rStyle w:val="Hyperlink"/>
                </w:rPr>
                <w:t>Trabalho</w:t>
              </w:r>
            </w:hyperlink>
            <w:r>
              <w:t xml:space="preserve"> do Ozônio, que estabeleceu diretrizes para eliminação dos CFC e criou o Programa Brasileiro </w:t>
            </w:r>
            <w:r>
              <w:lastRenderedPageBreak/>
              <w:t>para eliminação da Produção e Consumo das Substâncias que Destroem a Camada de Ozônio, PBCO, em 1994.Em 1995 foi aprovada a Resolução CONAMA n.º 13 que deu prioridade para a conversão tecnológica industrial na eliminação dos CFCs. Mais tarde a resolução foi revogada e uma outra resolução, a n.º 267/00 proibiu definitivamente o uso de CFCs em novos produtos. Ainda em 1995, foi criado o PROZON – Comitê-Executivo Interministerial para a Proteção da Camada de Ozônio.</w:t>
            </w:r>
          </w:p>
          <w:p w:rsidR="006663E1" w:rsidRDefault="006663E1" w:rsidP="006663E1">
            <w:pPr>
              <w:pStyle w:val="NormalWeb"/>
            </w:pPr>
            <w:r>
              <w:t>Para banir de vez o uso de CFCs no Brasil, foi criado o Plano Nacional para Eliminação de CFCs em 2002. Desde então, o uso de CFCs no Brasil caiu de 10 mil toneladas em 1995, para 480 toneladas em 2006, representando cerca de 90% de redução.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40"/>
              <w:gridCol w:w="3697"/>
            </w:tblGrid>
            <w:tr w:rsidR="006663E1" w:rsidTr="0068228B">
              <w:trPr>
                <w:tblCellSpacing w:w="0" w:type="dxa"/>
              </w:trPr>
              <w:tc>
                <w:tcPr>
                  <w:tcW w:w="5040" w:type="dxa"/>
                  <w:hideMark/>
                </w:tcPr>
                <w:p w:rsidR="006663E1" w:rsidRDefault="006663E1" w:rsidP="006822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63E1" w:rsidRPr="002F185B" w:rsidRDefault="006663E1" w:rsidP="0068228B">
                  <w:pPr>
                    <w:jc w:val="center"/>
                  </w:pP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8228B">
              <w:rPr>
                <w:color w:val="000000"/>
                <w:sz w:val="27"/>
                <w:szCs w:val="27"/>
              </w:rPr>
              <w:br/>
              <w:t>Se você exerce uma ou mais atividades listadas abaixo com substâncias sujeitas ao controle pelo Protocolo de Montreal, você deve se cadastrar na categoria de atividade Atividades Diversas com a descrição Usuário de Substâncias Controladas pelo Protocolo de Montreal;</w:t>
            </w:r>
          </w:p>
          <w:p w:rsidR="0068228B" w:rsidRPr="0068228B" w:rsidRDefault="0068228B" w:rsidP="0068228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8228B">
              <w:rPr>
                <w:color w:val="000000"/>
                <w:sz w:val="27"/>
                <w:szCs w:val="27"/>
              </w:rPr>
              <w:t>Veja como é classificado o uso das Substâncias que Destroem a Camada de Ozônio:</w:t>
            </w:r>
          </w:p>
          <w:tbl>
            <w:tblPr>
              <w:tblW w:w="4000" w:type="pct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70"/>
              <w:gridCol w:w="5220"/>
            </w:tblGrid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355E00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8228B">
                    <w:rPr>
                      <w:b/>
                      <w:bCs/>
                      <w:color w:val="FFFFFF"/>
                      <w:sz w:val="20"/>
                    </w:rPr>
                    <w:t>Setor de Aplicação</w:t>
                  </w:r>
                </w:p>
              </w:tc>
              <w:tc>
                <w:tcPr>
                  <w:tcW w:w="3750" w:type="pct"/>
                  <w:shd w:val="clear" w:color="auto" w:fill="355E00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8228B">
                    <w:rPr>
                      <w:b/>
                      <w:bCs/>
                      <w:color w:val="FFFFFF"/>
                      <w:sz w:val="20"/>
                    </w:rPr>
                    <w:t>Uso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Agrícola</w:t>
                  </w:r>
                </w:p>
              </w:tc>
              <w:tc>
                <w:tcPr>
                  <w:tcW w:w="37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Esterilização de solo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Esterilização pré-embarque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Esterilização quarentena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Espumação</w:t>
                  </w:r>
                </w:p>
              </w:tc>
              <w:tc>
                <w:tcPr>
                  <w:tcW w:w="37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Flexível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Rígida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Pele integral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Isolamento térmico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Isolamento em aparelhos de refrigeração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Estruturados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Poliestireno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Extinção de Incêndio</w:t>
                  </w:r>
                </w:p>
              </w:tc>
              <w:tc>
                <w:tcPr>
                  <w:tcW w:w="37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Sistemas Fixos de Prevenção - Aviação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Sistemas Fixos de Prevenção - Plataforma de Petróleo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Sistemas Fixos de Prevenção - Processamento de Dados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Sistemas Móveis de Prevenção - Extintores Portáteis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Fabricação de Equipamentos</w:t>
                  </w:r>
                </w:p>
              </w:tc>
              <w:tc>
                <w:tcPr>
                  <w:tcW w:w="37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Ar condicionado central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Ar condicionado automotivo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lastRenderedPageBreak/>
                    <w:t>Ar condicionado doméstico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Transporte frigorificado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Industrial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Comercial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Doméstica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lastRenderedPageBreak/>
                    <w:t>Farmacêutico</w:t>
                  </w:r>
                </w:p>
              </w:tc>
              <w:tc>
                <w:tcPr>
                  <w:tcW w:w="37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Formulações farmacêuticas diversas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Inaladores de doses medidas - MDI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Esterilizante médico-hospitalar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Procedimentos de análise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Manutenção, reparo, serviços em refrigeração</w:t>
                  </w:r>
                </w:p>
              </w:tc>
              <w:tc>
                <w:tcPr>
                  <w:tcW w:w="37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Doméstica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Comercial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Refrigeração Industrial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Ar condicionado central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Ar condicionado automotivo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Transporte frigorificado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Químico</w:t>
                  </w:r>
                </w:p>
              </w:tc>
              <w:tc>
                <w:tcPr>
                  <w:tcW w:w="3750" w:type="pct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Agente de processo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Matéria-prima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Procedimentos de análise</w:t>
                  </w:r>
                </w:p>
              </w:tc>
            </w:tr>
            <w:tr w:rsidR="0068228B" w:rsidRPr="0068228B" w:rsidTr="0068228B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Solvente</w:t>
                  </w:r>
                </w:p>
              </w:tc>
              <w:tc>
                <w:tcPr>
                  <w:tcW w:w="3750" w:type="pct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Limpeza de equipamentos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Limpeza de circuitos eletrônicos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Lavagem a seco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Adesivos</w:t>
                  </w:r>
                </w:p>
                <w:p w:rsidR="0068228B" w:rsidRPr="0068228B" w:rsidRDefault="0068228B" w:rsidP="0068228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8228B">
                    <w:rPr>
                      <w:sz w:val="24"/>
                      <w:szCs w:val="24"/>
                    </w:rPr>
                    <w:t>Produtos sob a forma de aerossol</w:t>
                  </w:r>
                </w:p>
              </w:tc>
            </w:tr>
          </w:tbl>
          <w:p w:rsidR="006663E1" w:rsidRPr="00627DA8" w:rsidRDefault="006663E1" w:rsidP="006663E1"/>
          <w:p w:rsidR="0068228B" w:rsidRDefault="0068228B" w:rsidP="006663E1">
            <w:pPr>
              <w:rPr>
                <w:rStyle w:val="Forte"/>
              </w:rPr>
            </w:pPr>
          </w:p>
          <w:p w:rsidR="0068228B" w:rsidRDefault="0068228B" w:rsidP="006663E1">
            <w:pPr>
              <w:rPr>
                <w:rStyle w:val="Forte"/>
              </w:rPr>
            </w:pPr>
          </w:p>
          <w:p w:rsidR="0068228B" w:rsidRDefault="0068228B" w:rsidP="006663E1">
            <w:pPr>
              <w:rPr>
                <w:rStyle w:val="Forte"/>
              </w:rPr>
            </w:pPr>
          </w:p>
          <w:p w:rsidR="0068228B" w:rsidRDefault="0068228B" w:rsidP="006663E1">
            <w:pPr>
              <w:rPr>
                <w:rStyle w:val="Forte"/>
              </w:rPr>
            </w:pPr>
          </w:p>
          <w:p w:rsidR="0068228B" w:rsidRPr="0068228B" w:rsidRDefault="0068228B" w:rsidP="0068228B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</w:rPr>
            </w:pPr>
            <w:r w:rsidRPr="0068228B">
              <w:rPr>
                <w:rFonts w:ascii="Verdana" w:hAnsi="Verdana"/>
                <w:b/>
                <w:bCs/>
                <w:color w:val="000000"/>
                <w:sz w:val="20"/>
              </w:rPr>
              <w:t>Veja como são classificadas as substâncias destruidoras da camada de ozônio:</w:t>
            </w:r>
          </w:p>
          <w:p w:rsidR="0068228B" w:rsidRPr="0068228B" w:rsidRDefault="0068228B" w:rsidP="0068228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</w:rPr>
            </w:pPr>
          </w:p>
          <w:tbl>
            <w:tblPr>
              <w:tblW w:w="8835" w:type="dxa"/>
              <w:jc w:val="center"/>
              <w:tblCellSpacing w:w="0" w:type="dxa"/>
              <w:tblInd w:w="72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66"/>
              <w:gridCol w:w="1611"/>
              <w:gridCol w:w="1448"/>
              <w:gridCol w:w="5110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83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06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SUBSTÂNCIA COMP.</w:t>
                  </w:r>
                </w:p>
              </w:tc>
              <w:tc>
                <w:tcPr>
                  <w:tcW w:w="459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54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1101</w:t>
                  </w:r>
                </w:p>
              </w:tc>
              <w:tc>
                <w:tcPr>
                  <w:tcW w:w="103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</w:t>
                  </w:r>
                </w:p>
              </w:tc>
              <w:tc>
                <w:tcPr>
                  <w:tcW w:w="78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600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R-11; genetron 11; freon-11;progen-11; daiflon-11; arcton-11; mafron-11; forane-11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54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1102</w:t>
                  </w:r>
                </w:p>
              </w:tc>
              <w:tc>
                <w:tcPr>
                  <w:tcW w:w="103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CFC-12</w:t>
                  </w:r>
                </w:p>
              </w:tc>
              <w:tc>
                <w:tcPr>
                  <w:tcW w:w="78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600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 xml:space="preserve">R-12; FREON-12; FRIOGÁS-12; ISCEON-12; </w:t>
                  </w:r>
                  <w:r w:rsidRPr="0068228B">
                    <w:rPr>
                      <w:rFonts w:ascii="Verdana" w:hAnsi="Verdana"/>
                      <w:sz w:val="20"/>
                    </w:rPr>
                    <w:lastRenderedPageBreak/>
                    <w:t>GENETRON-12; PROGEN-12; DAIFLON-12; ARCTON-12; MAFRON-12; FORANE 12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54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lastRenderedPageBreak/>
                    <w:t>1103</w:t>
                  </w:r>
                </w:p>
              </w:tc>
              <w:tc>
                <w:tcPr>
                  <w:tcW w:w="103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CFC-113</w:t>
                  </w:r>
                </w:p>
              </w:tc>
              <w:tc>
                <w:tcPr>
                  <w:tcW w:w="78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600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R-113; freon PCA; freon TF; freon TDF; front T; fronsolve; CG triflon; dailon S3; arklone P; gen klene P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54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1104</w:t>
                  </w:r>
                </w:p>
              </w:tc>
              <w:tc>
                <w:tcPr>
                  <w:tcW w:w="103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CFC-114</w:t>
                  </w:r>
                </w:p>
              </w:tc>
              <w:tc>
                <w:tcPr>
                  <w:tcW w:w="78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600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dymel-114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54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1105</w:t>
                  </w:r>
                </w:p>
              </w:tc>
              <w:tc>
                <w:tcPr>
                  <w:tcW w:w="103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CFC-115</w:t>
                  </w:r>
                </w:p>
              </w:tc>
              <w:tc>
                <w:tcPr>
                  <w:tcW w:w="78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600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arcton-115</w:t>
                  </w: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ind w:left="720"/>
              <w:rPr>
                <w:rFonts w:ascii="Verdana" w:hAnsi="Verdana"/>
                <w:color w:val="000000"/>
                <w:sz w:val="17"/>
                <w:szCs w:val="17"/>
              </w:rPr>
            </w:pPr>
          </w:p>
          <w:tbl>
            <w:tblPr>
              <w:tblW w:w="8760" w:type="dxa"/>
              <w:jc w:val="center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5"/>
              <w:gridCol w:w="1816"/>
              <w:gridCol w:w="1478"/>
              <w:gridCol w:w="4791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83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06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SUBSTÂNCIA COMP.</w:t>
                  </w:r>
                </w:p>
              </w:tc>
              <w:tc>
                <w:tcPr>
                  <w:tcW w:w="459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1201</w:t>
                  </w:r>
                </w:p>
              </w:tc>
              <w:tc>
                <w:tcPr>
                  <w:tcW w:w="13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HALON-1211</w:t>
                  </w:r>
                </w:p>
              </w:tc>
              <w:tc>
                <w:tcPr>
                  <w:tcW w:w="13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BrCl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1202</w:t>
                  </w:r>
                </w:p>
              </w:tc>
              <w:tc>
                <w:tcPr>
                  <w:tcW w:w="13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HALON-1301</w:t>
                  </w:r>
                </w:p>
              </w:tc>
              <w:tc>
                <w:tcPr>
                  <w:tcW w:w="13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Br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1203</w:t>
                  </w:r>
                </w:p>
              </w:tc>
              <w:tc>
                <w:tcPr>
                  <w:tcW w:w="13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HALON-2402</w:t>
                  </w:r>
                </w:p>
              </w:tc>
              <w:tc>
                <w:tcPr>
                  <w:tcW w:w="13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Br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  <w:tbl>
            <w:tblPr>
              <w:tblW w:w="8760" w:type="dxa"/>
              <w:jc w:val="center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5"/>
              <w:gridCol w:w="1780"/>
              <w:gridCol w:w="1613"/>
              <w:gridCol w:w="4692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83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06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SUBSTÂNCIA COMP.</w:t>
                  </w:r>
                </w:p>
              </w:tc>
              <w:tc>
                <w:tcPr>
                  <w:tcW w:w="459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2101</w:t>
                  </w:r>
                </w:p>
              </w:tc>
              <w:tc>
                <w:tcPr>
                  <w:tcW w:w="10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CFC-13</w:t>
                  </w:r>
                </w:p>
              </w:tc>
              <w:tc>
                <w:tcPr>
                  <w:tcW w:w="16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R-13; freon-13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2102</w:t>
                  </w:r>
                </w:p>
              </w:tc>
              <w:tc>
                <w:tcPr>
                  <w:tcW w:w="10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CFC-111</w:t>
                  </w:r>
                </w:p>
              </w:tc>
              <w:tc>
                <w:tcPr>
                  <w:tcW w:w="16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2103</w:t>
                  </w:r>
                </w:p>
              </w:tc>
              <w:tc>
                <w:tcPr>
                  <w:tcW w:w="10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CFC-112</w:t>
                  </w:r>
                </w:p>
              </w:tc>
              <w:tc>
                <w:tcPr>
                  <w:tcW w:w="16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2104</w:t>
                  </w:r>
                </w:p>
              </w:tc>
              <w:tc>
                <w:tcPr>
                  <w:tcW w:w="10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CFC-211</w:t>
                  </w:r>
                </w:p>
              </w:tc>
              <w:tc>
                <w:tcPr>
                  <w:tcW w:w="16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7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2105</w:t>
                  </w:r>
                </w:p>
              </w:tc>
              <w:tc>
                <w:tcPr>
                  <w:tcW w:w="10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CFC-212</w:t>
                  </w:r>
                </w:p>
              </w:tc>
              <w:tc>
                <w:tcPr>
                  <w:tcW w:w="16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2106</w:t>
                  </w:r>
                </w:p>
              </w:tc>
              <w:tc>
                <w:tcPr>
                  <w:tcW w:w="10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CFC-213</w:t>
                  </w:r>
                </w:p>
              </w:tc>
              <w:tc>
                <w:tcPr>
                  <w:tcW w:w="16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2107</w:t>
                  </w:r>
                </w:p>
              </w:tc>
              <w:tc>
                <w:tcPr>
                  <w:tcW w:w="10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CFC-214</w:t>
                  </w:r>
                </w:p>
              </w:tc>
              <w:tc>
                <w:tcPr>
                  <w:tcW w:w="16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2108</w:t>
                  </w:r>
                </w:p>
              </w:tc>
              <w:tc>
                <w:tcPr>
                  <w:tcW w:w="10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CFC-215</w:t>
                  </w:r>
                </w:p>
              </w:tc>
              <w:tc>
                <w:tcPr>
                  <w:tcW w:w="16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2109</w:t>
                  </w:r>
                </w:p>
              </w:tc>
              <w:tc>
                <w:tcPr>
                  <w:tcW w:w="10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CFC-216</w:t>
                  </w:r>
                </w:p>
              </w:tc>
              <w:tc>
                <w:tcPr>
                  <w:tcW w:w="162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8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2110</w:t>
                  </w:r>
                </w:p>
              </w:tc>
              <w:tc>
                <w:tcPr>
                  <w:tcW w:w="10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CFC-217</w:t>
                  </w:r>
                </w:p>
              </w:tc>
              <w:tc>
                <w:tcPr>
                  <w:tcW w:w="162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7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84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ind w:left="720"/>
              <w:rPr>
                <w:rFonts w:ascii="Verdana" w:hAnsi="Verdana"/>
                <w:color w:val="000000"/>
                <w:sz w:val="17"/>
                <w:szCs w:val="17"/>
              </w:rPr>
            </w:pPr>
          </w:p>
          <w:tbl>
            <w:tblPr>
              <w:tblW w:w="8760" w:type="dxa"/>
              <w:jc w:val="center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2"/>
              <w:gridCol w:w="2480"/>
              <w:gridCol w:w="1478"/>
              <w:gridCol w:w="4130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83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06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SUBSTÂNCIA COMP.</w:t>
                  </w:r>
                </w:p>
              </w:tc>
              <w:tc>
                <w:tcPr>
                  <w:tcW w:w="459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6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2201</w:t>
                  </w:r>
                </w:p>
              </w:tc>
              <w:tc>
                <w:tcPr>
                  <w:tcW w:w="268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CTC – tetracloreto de carbono</w:t>
                  </w:r>
                </w:p>
              </w:tc>
              <w:tc>
                <w:tcPr>
                  <w:tcW w:w="64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17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sienkatanso; carbon tetrachloride</w:t>
                  </w: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  <w:tbl>
            <w:tblPr>
              <w:tblW w:w="8760" w:type="dxa"/>
              <w:jc w:val="center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24"/>
              <w:gridCol w:w="1964"/>
              <w:gridCol w:w="1146"/>
              <w:gridCol w:w="4926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83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06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 xml:space="preserve">COMP. </w:t>
                  </w: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lastRenderedPageBreak/>
                    <w:t>QUÍMICA</w:t>
                  </w:r>
                </w:p>
              </w:tc>
              <w:tc>
                <w:tcPr>
                  <w:tcW w:w="4590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lastRenderedPageBreak/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67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lastRenderedPageBreak/>
                    <w:t>2301</w:t>
                  </w:r>
                </w:p>
              </w:tc>
              <w:tc>
                <w:tcPr>
                  <w:tcW w:w="183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1,1,1 – tricloroetano (metil clorofórmio)</w:t>
                  </w:r>
                </w:p>
              </w:tc>
              <w:tc>
                <w:tcPr>
                  <w:tcW w:w="106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TCA; MCF; baltane; genklene P e PT; chemlok 252; kandentriethane; solvethane; tree bonde 1802; eletro solv; 1,1,1 – tri; arrow C 190 LEC; CG triethane</w:t>
                  </w:r>
                </w:p>
              </w:tc>
            </w:tr>
          </w:tbl>
          <w:p w:rsidR="0068228B" w:rsidRPr="0068228B" w:rsidRDefault="0068228B" w:rsidP="0068228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  <w:tbl>
            <w:tblPr>
              <w:tblW w:w="8760" w:type="dxa"/>
              <w:jc w:val="center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1"/>
              <w:gridCol w:w="150"/>
              <w:gridCol w:w="853"/>
              <w:gridCol w:w="135"/>
              <w:gridCol w:w="718"/>
              <w:gridCol w:w="682"/>
              <w:gridCol w:w="937"/>
              <w:gridCol w:w="4084"/>
            </w:tblGrid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CÓD</w:t>
                  </w:r>
                </w:p>
              </w:tc>
              <w:tc>
                <w:tcPr>
                  <w:tcW w:w="1050" w:type="dxa"/>
                  <w:gridSpan w:val="2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NOME</w:t>
                  </w:r>
                </w:p>
              </w:tc>
              <w:tc>
                <w:tcPr>
                  <w:tcW w:w="1470" w:type="dxa"/>
                  <w:gridSpan w:val="3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COMP. QUÍMICA</w:t>
                  </w:r>
                </w:p>
              </w:tc>
              <w:tc>
                <w:tcPr>
                  <w:tcW w:w="4590" w:type="dxa"/>
                  <w:gridSpan w:val="2"/>
                  <w:shd w:val="clear" w:color="auto" w:fill="5C8526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color w:val="FFFFFF"/>
                      <w:sz w:val="20"/>
                    </w:rPr>
                    <w:t>MARCAS COMERCIAIS MAIS CONHECIDAS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3101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HCFC-21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3102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forane-22; frigen-22; solkane-22; genetron-22; R-22; freon-22; dymel-22; formacel S; flugene-22; solkane-22; arcton-22; daiflon-22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3103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HCFC-31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3104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HCFC-121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3105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HCFC-122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3106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HCFC-123 (*)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suva-123; R-123; genetron-123; vertrel-423; forane-123; asahiclin ak-123; halotroni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3107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HCFC-124(*)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CHFClCF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suva-124; genetron-124; asahiklin AK-124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3108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HCFC-131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3109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HCFC-132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3110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HCFC-133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3111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HCFC-141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3112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HCFC-141b (*)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genetron-141b; genesolv 2000: forane-141b; solkane-141b; asahiklin ak-141b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3113</w:t>
                  </w:r>
                </w:p>
              </w:tc>
              <w:tc>
                <w:tcPr>
                  <w:tcW w:w="118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HCFC-142</w:t>
                  </w:r>
                </w:p>
              </w:tc>
              <w:tc>
                <w:tcPr>
                  <w:tcW w:w="133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3114</w:t>
                  </w:r>
                </w:p>
              </w:tc>
              <w:tc>
                <w:tcPr>
                  <w:tcW w:w="118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HCFC-142b</w:t>
                  </w:r>
                </w:p>
              </w:tc>
              <w:tc>
                <w:tcPr>
                  <w:tcW w:w="133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dymel-142b; forane-142b; asahiklin ak-142b; daiflon-142b; solkane-142b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3115</w:t>
                  </w:r>
                </w:p>
              </w:tc>
              <w:tc>
                <w:tcPr>
                  <w:tcW w:w="1890" w:type="dxa"/>
                  <w:gridSpan w:val="4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HCFC-151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305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3116</w:t>
                  </w:r>
                </w:p>
              </w:tc>
              <w:tc>
                <w:tcPr>
                  <w:tcW w:w="1890" w:type="dxa"/>
                  <w:gridSpan w:val="4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HCFC-221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3117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HCFC-222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3118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HCFC-223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lastRenderedPageBreak/>
                    <w:t>3119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HCFC-224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3120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HCFC-225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asahiklin AK-225; HCFC-225 ES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3121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HCFC225ca (*)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CHCl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3122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HCFC-225cb (*)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ClCF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CHClF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3123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HCFC-226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3124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HCFC-231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3125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HCFC-232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3126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HCFC-233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3127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HCFC-234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3128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HCFC-235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3129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HCFC-241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3130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HCFC-242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3131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HCFC-243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3132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HCFC-244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3133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HCFC-251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3134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HCFC-252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solkane-152a</w:t>
                  </w: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3135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HCFC-253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3136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HCFC-261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3137</w:t>
                  </w:r>
                </w:p>
              </w:tc>
              <w:tc>
                <w:tcPr>
                  <w:tcW w:w="1755" w:type="dxa"/>
                  <w:gridSpan w:val="3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HCFC-262</w:t>
                  </w:r>
                </w:p>
              </w:tc>
              <w:tc>
                <w:tcPr>
                  <w:tcW w:w="1530" w:type="dxa"/>
                  <w:gridSpan w:val="2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 w:rsidRPr="0068228B">
                    <w:rPr>
                      <w:rFonts w:ascii="Verdana" w:hAnsi="Verdana"/>
                      <w:sz w:val="20"/>
                    </w:rPr>
                    <w:t>F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 w:rsidRPr="0068228B">
                    <w:rPr>
                      <w:rFonts w:ascii="Verdana" w:hAnsi="Verdana"/>
                      <w:sz w:val="20"/>
                    </w:rPr>
                    <w:t>Cl</w:t>
                  </w:r>
                </w:p>
              </w:tc>
              <w:tc>
                <w:tcPr>
                  <w:tcW w:w="4590" w:type="dxa"/>
                  <w:shd w:val="clear" w:color="auto" w:fill="C7EEC5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8228B" w:rsidRPr="0068228B" w:rsidTr="0068228B">
              <w:trPr>
                <w:tblCellSpacing w:w="0" w:type="dxa"/>
                <w:jc w:val="center"/>
              </w:trPr>
              <w:tc>
                <w:tcPr>
                  <w:tcW w:w="1455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3138</w:t>
                  </w:r>
                </w:p>
              </w:tc>
              <w:tc>
                <w:tcPr>
                  <w:tcW w:w="1755" w:type="dxa"/>
                  <w:gridSpan w:val="3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HCFC-271</w:t>
                  </w:r>
                </w:p>
              </w:tc>
              <w:tc>
                <w:tcPr>
                  <w:tcW w:w="1530" w:type="dxa"/>
                  <w:gridSpan w:val="2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228B">
                    <w:rPr>
                      <w:rFonts w:ascii="Verdana" w:hAnsi="Verdana"/>
                      <w:sz w:val="20"/>
                    </w:rPr>
                    <w:t>C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 w:rsidRPr="0068228B">
                    <w:rPr>
                      <w:rFonts w:ascii="Verdana" w:hAnsi="Verdana"/>
                      <w:sz w:val="20"/>
                    </w:rPr>
                    <w:t>H</w:t>
                  </w:r>
                  <w:r w:rsidRPr="0068228B"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  <w:r w:rsidRPr="0068228B">
                    <w:rPr>
                      <w:rFonts w:ascii="Verdana" w:hAnsi="Verdana"/>
                      <w:sz w:val="20"/>
                    </w:rPr>
                    <w:t>FCl</w:t>
                  </w:r>
                </w:p>
              </w:tc>
              <w:tc>
                <w:tcPr>
                  <w:tcW w:w="4590" w:type="dxa"/>
                  <w:shd w:val="clear" w:color="auto" w:fill="97CD97"/>
                  <w:hideMark/>
                </w:tcPr>
                <w:p w:rsidR="0068228B" w:rsidRPr="0068228B" w:rsidRDefault="0068228B" w:rsidP="0068228B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2B4322" w:rsidRDefault="002B4322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94F5E">
            <w:pPr>
              <w:pStyle w:val="NormalWeb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Seção III</w:t>
            </w:r>
          </w:p>
          <w:p w:rsidR="00694F5E" w:rsidRDefault="00694F5E" w:rsidP="00694F5E">
            <w:pPr>
              <w:pStyle w:val="NormalWeb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Da Poluição e outros Crimes Ambientais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54. Causar poluição de qualquer natureza em níveis tais que resultem ou possam resultar em danos à saúde humana, ou que provoquem a mortandade de animais ou a destruição significativa da flora: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reclusão, de um a quatro anos, e multa.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§ 1º Se o crime é culposo: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detenção, de seis meses a um ano, e multa.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§ 2º Se o crime: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       I - tornar uma área, urbana ou rural, imprópria para a ocupação humana;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II - causar poluição atmosférica que provoque a retirada, ainda que momentânea, dos habitantes das áreas afetadas, ou que cause danos diretos à saúde da população;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III - causar poluição hídrica que torne necessária a interrupção do abastecimento público de água de uma comunidade;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IV - dificultar ou impedir o uso público das praias;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</w:t>
            </w:r>
            <w:r w:rsidRPr="00694F5E">
              <w:rPr>
                <w:rFonts w:ascii="Arial" w:hAnsi="Arial" w:cs="Arial"/>
                <w:color w:val="000000"/>
              </w:rPr>
              <w:sym w:font="Wingdings" w:char="F0E8"/>
            </w:r>
            <w:r>
              <w:rPr>
                <w:rFonts w:ascii="Arial" w:hAnsi="Arial" w:cs="Arial"/>
                <w:color w:val="000000"/>
              </w:rPr>
              <w:t xml:space="preserve"> V - ocorrer por lançamento de resíduos sólidos, líquidos ou gasosos, ou detritos, óleos ou substâncias oleosas, em desacordo com as exigências estabelecidas em leis ou regulamentos: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reclusão, de um a cinco anos.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§ 3º Incorre nas mesmas penas previstas no parágrafo anterior quem deixar de adotar, quando assim o exigir a autoridade competente, medidas de precaução em caso de risco de dano ambiental grave ou irreversível.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55. Executar pesquisa, lavra ou extração de recursos minerais sem a competente autorização, permissão, concessão ou licença, ou em desacordo com a obtida: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detenção, de seis meses a um ano, e multa.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Parágrafo único. Nas mesmas penas incorre quem deixa de recuperar a área pesquisada ou explorada, nos termos da autorização, permissão, licença, concessão ou determinação do órgão competente.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56. Produzir, processar, embalar, importar, exportar, comercializar, fornecer, transportar, armazenar, guardar, ter em depósito ou usar produto ou substância tóxica, perigosa ou nociva à saúde humana ou ao meio ambiente, em desacordo com as exigências estabelecidas em leis ou nos seus regulamentos: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reclusão, de um a quatro anos, e multa.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</w:t>
            </w:r>
          </w:p>
          <w:p w:rsidR="00694F5E" w:rsidRDefault="00694F5E" w:rsidP="00694F5E">
            <w:pPr>
              <w:pStyle w:val="artart"/>
              <w:spacing w:before="335" w:beforeAutospacing="0" w:after="335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art56§1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 1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 Nas mesmas penas incorre quem: </w:t>
            </w:r>
            <w:hyperlink r:id="rId13" w:anchor="art5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(Redação dada pela Lei nº 12.305, de 2010)</w:t>
              </w:r>
            </w:hyperlink>
          </w:p>
          <w:p w:rsidR="00694F5E" w:rsidRDefault="00694F5E" w:rsidP="00694F5E">
            <w:pPr>
              <w:pStyle w:val="artart"/>
              <w:spacing w:before="335" w:beforeAutospacing="0" w:after="335" w:afterAutospacing="0"/>
              <w:ind w:firstLine="6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- abandona os produtos ou substâncias referidos no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caput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 os utiliza em desacordo com as normas ambientais ou de segurança; </w:t>
            </w:r>
            <w:hyperlink r:id="rId14" w:anchor="art5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(Incluído pela Lei nº 12.305, de 2010)</w:t>
              </w:r>
            </w:hyperlink>
          </w:p>
          <w:p w:rsidR="00694F5E" w:rsidRDefault="00694F5E" w:rsidP="00694F5E">
            <w:pPr>
              <w:pStyle w:val="artart"/>
              <w:spacing w:before="335" w:beforeAutospacing="0" w:after="335" w:afterAutospacing="0"/>
              <w:ind w:firstLine="6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II - manipula, acondiciona, armazena, coleta, transporta, reutiliza, recicla ou dá destinação final a resíduos perigosos de forma diversa da estabelecida em lei ou regulamento.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5" w:anchor="art5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(Incluído pela Lei nº 12.305, de 2010)</w:t>
              </w:r>
            </w:hyperlink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       § 2º Se o produto ou a substância for nuclear ou radioativa, a pena é aumentada de um sexto a um terço.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§ 3º Se o crime é culposo: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Pena - detenção, de seis meses a um ano, e multa.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57.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6" w:history="1">
              <w:r>
                <w:rPr>
                  <w:rStyle w:val="Hyperlink"/>
                  <w:rFonts w:ascii="Arial" w:hAnsi="Arial" w:cs="Arial"/>
                </w:rPr>
                <w:t>(VETADO)</w:t>
              </w:r>
            </w:hyperlink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58. Nos crimes dolosos previstos nesta Seção, as penas serão aumentadas: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 - de um sexto a um terço, se resulta dano irreversível à flora ou ao meio ambiente em geral;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II - de um terço até a metade, se resulta lesão corporal de natureza grave em outrem;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III - até o dobro, se resultar a morte de outrem.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Parágrafo único. As penalidades previstas neste artigo somente serão aplicadas se do fato não resultar crime mais grave.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59.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7" w:history="1">
              <w:r>
                <w:rPr>
                  <w:rStyle w:val="Hyperlink"/>
                  <w:rFonts w:ascii="Arial" w:hAnsi="Arial" w:cs="Arial"/>
                </w:rPr>
                <w:t>(VETADO)</w:t>
              </w:r>
            </w:hyperlink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60. Construir, reformar, ampliar, instalar ou fazer funcionar, em qualquer parte do território nacional, estabelecimentos, obras ou serviços potencialmente poluidores, sem licença ou autorização dos órgãos ambientais competentes, ou contrariando as normas legais e regulamentares pertinentes: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detenção, de um a seis meses, ou multa, ou ambas as penas cumulativamente.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Art. 61. Disseminar doença ou praga ou espécies que possam causar dano à agricultura, à pecuária, à fauna, à flora ou aos ecossistemas:</w:t>
            </w:r>
          </w:p>
          <w:p w:rsidR="00694F5E" w:rsidRDefault="00694F5E" w:rsidP="00694F5E">
            <w:pPr>
              <w:pStyle w:val="NormalWe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 Pena - reclusão, de um a quatro anos, e multa.</w:t>
            </w: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94F5E" w:rsidRDefault="00694F5E" w:rsidP="006663E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 xml:space="preserve">Indústrias trocarão equipamentos para evitar gases nocivos 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A troca de equipamentos em 386 indústrias nacionais é a principal medida para eliminar o consumo de hidroclorofluorcarbonos (HCFCs), usados na manufatura de espumas e em aparelhos de refrigeração e ar-condicionado.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lastRenderedPageBreak/>
              <w:t>Essa substância, um composto de carbono, hidrogênio, cloro e flúor, foi criada como alternativa menos danosa ao clorofluorcarboneto (CFC), usado também em aerossóis, e que teve o consumo banido em 2010.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Além de destruir a camada de ozônio, os HCFCs contribuem 2 mil vezes mais para o aquecimento global que o dióxido de carbono (CO2).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 xml:space="preserve">A eliminação de HCFCs está prevista para 2040, segundo meta do programa brasileiro estabelecido com base em compromissos internacionais. A expectativa do governo é alcançar a meta antes </w:t>
            </w:r>
            <w:r>
              <w:rPr>
                <w:rStyle w:val="Forte"/>
              </w:rPr>
              <w:t xml:space="preserve">do prazo estabelecido. </w:t>
            </w:r>
          </w:p>
          <w:p w:rsidR="006663E1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 xml:space="preserve">O dinheiro para a alteração tecnológica nas fábricas sairá de um fundo de investimento de US$ 19,5 milhões para a implementação do Protocolo de 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Montreal e operado pelo Programa das Nações Unidas para o Desenvolvimento e pela Agência de Cooperação Internacional Alemã.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Os investimentos garantiriam a adaptação da indústria sem perda da competitividade, destacou a ministra do Meio Ambiente. Multinacionais que atuam no País assumiram o compromisso de investir mais US$ 14 milhões para financiar a conversão tecnológica de suas fábricas.</w:t>
            </w:r>
          </w:p>
          <w:p w:rsidR="007172D9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O Programa Brasileiro de Eliminação dos hidroclorofluorcarbonos prevê para 2013 o congelamento do consumo na média verificada entre 2009 e 2010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>
              <w:rPr>
                <w:rStyle w:val="Forte"/>
              </w:rPr>
              <w:t xml:space="preserve">( a </w:t>
            </w:r>
            <w:r w:rsidRPr="00627DA8">
              <w:rPr>
                <w:rStyle w:val="Forte"/>
              </w:rPr>
              <w:t>maior da História). Até 2015, final da primeira fase do programa, a meta é eliminar 17% do consumo, o que equivale a aproximadamente 5 milhões de toneladas de gases de efeito estufa, medidas em carbono equivalente.</w:t>
            </w:r>
          </w:p>
          <w:p w:rsidR="006663E1" w:rsidRPr="00627DA8" w:rsidRDefault="006663E1" w:rsidP="006663E1">
            <w:pPr>
              <w:rPr>
                <w:rStyle w:val="Forte"/>
              </w:rPr>
            </w:pPr>
            <w:r w:rsidRPr="00627DA8">
              <w:rPr>
                <w:rStyle w:val="Forte"/>
              </w:rPr>
              <w:t>O programa de troca de equipamentos começará pelo setor de produção de espumas, o que tem o maior potencial de destruição da camada de ozônio. O Ministério do Meio Ambiente registra também o vazamento de gases HCFCs de equipamentos de refrigeração instalados em supermercados</w:t>
            </w:r>
            <w:r>
              <w:rPr>
                <w:rStyle w:val="Forte"/>
              </w:rPr>
              <w:t xml:space="preserve"> e industrias</w:t>
            </w:r>
            <w:r w:rsidRPr="00627DA8">
              <w:rPr>
                <w:rStyle w:val="Forte"/>
              </w:rPr>
              <w:t xml:space="preserve">. </w:t>
            </w:r>
          </w:p>
          <w:p w:rsidR="008E642B" w:rsidRDefault="008E642B" w:rsidP="006663E1">
            <w:pPr>
              <w:spacing w:line="360" w:lineRule="atLeast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8E642B" w:rsidRDefault="008E642B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8E642B" w:rsidRDefault="008E642B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8E642B" w:rsidRDefault="008E642B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6663E1" w:rsidRDefault="006663E1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6663E1" w:rsidRDefault="006663E1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6663E1" w:rsidRDefault="006663E1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color w:val="666666"/>
                <w:sz w:val="18"/>
                <w:szCs w:val="18"/>
              </w:rPr>
              <w:drawing>
                <wp:anchor distT="0" distB="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-666115</wp:posOffset>
                  </wp:positionV>
                  <wp:extent cx="1666240" cy="1020445"/>
                  <wp:effectExtent l="19050" t="0" r="0" b="0"/>
                  <wp:wrapSquare wrapText="bothSides"/>
                  <wp:docPr id="4" name="Imagem 4" descr="http://www2.dupont.com/Refrigerants/pt_BR/assets/images/product_images/ISCEON™%20MO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dupont.com/Refrigerants/pt_BR/assets/images/product_images/ISCEON™%20MO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3E1" w:rsidRDefault="006663E1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6663E1" w:rsidRDefault="006663E1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</w:p>
          <w:p w:rsidR="00C8137D" w:rsidRPr="00C8137D" w:rsidRDefault="00C8137D" w:rsidP="00C8137D">
            <w:pPr>
              <w:spacing w:line="36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C8137D">
              <w:rPr>
                <w:rFonts w:ascii="Trebuchet MS" w:hAnsi="Trebuchet MS"/>
                <w:color w:val="666666"/>
                <w:sz w:val="18"/>
                <w:szCs w:val="18"/>
              </w:rPr>
              <w:t>O DuPont ISCEON™ MO29 é um fluido refrigerante HFC, de fácil utilização e que não degrada a camada de ozônio.</w:t>
            </w:r>
            <w:r w:rsidRPr="00C8137D">
              <w:rPr>
                <w:rFonts w:ascii="Trebuchet MS" w:hAnsi="Trebuchet MS"/>
                <w:color w:val="666666"/>
                <w:sz w:val="18"/>
                <w:szCs w:val="18"/>
              </w:rPr>
              <w:br/>
              <w:t>Este produto foi desenvolvido para substituir o R-22 em sistemas de refrigeração doméstica, comercial e industrial incluindo resfriamento de líquido (Chiller), por expansão direta (DX).</w:t>
            </w:r>
          </w:p>
        </w:tc>
      </w:tr>
    </w:tbl>
    <w:p w:rsidR="008E642B" w:rsidRDefault="008E642B" w:rsidP="00C8137D">
      <w:pPr>
        <w:spacing w:line="360" w:lineRule="atLeast"/>
        <w:jc w:val="center"/>
        <w:rPr>
          <w:rFonts w:ascii="Trebuchet MS" w:hAnsi="Trebuchet MS"/>
          <w:b/>
          <w:bCs/>
          <w:color w:val="666666"/>
          <w:sz w:val="20"/>
        </w:rPr>
      </w:pP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Classificação ASHRAE:</w:t>
      </w:r>
      <w:r w:rsidRPr="00C8137D">
        <w:rPr>
          <w:rFonts w:ascii="Trebuchet MS" w:hAnsi="Trebuchet MS"/>
          <w:color w:val="666666"/>
          <w:sz w:val="20"/>
        </w:rPr>
        <w:t xml:space="preserve"> R-422D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Aplicações</w:t>
      </w:r>
    </w:p>
    <w:p w:rsidR="00C8137D" w:rsidRPr="00C8137D" w:rsidRDefault="00C8137D" w:rsidP="00C8137D">
      <w:pPr>
        <w:numPr>
          <w:ilvl w:val="0"/>
          <w:numId w:val="19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lastRenderedPageBreak/>
        <w:t>Condicionadores de ar doméstico, comercial e industrial: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Condicionadores de ar de janela (ACJ), Split e Self;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Chiller com condensação a água/ar e expansão direta;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</w:p>
    <w:p w:rsidR="00C8137D" w:rsidRPr="00C8137D" w:rsidRDefault="00C8137D" w:rsidP="00C8137D">
      <w:pPr>
        <w:numPr>
          <w:ilvl w:val="0"/>
          <w:numId w:val="20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Refrigeração comercial e industrial por expansão direta de médias e baixas temperaturas, incluindo: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Balcões de supermercados;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Refrigeração de alimentos;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Armazenamento e processamento de alimentos;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color w:val="666666"/>
          <w:sz w:val="20"/>
        </w:rPr>
        <w:t>- Máquinas de gelo.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Benefícios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Proporciona Retrofit fácil, rápido e de baixo custo: Mais fácil que o Retrofit com R-404A, R-507 e R-407C, pois em geral não requer modificações no sistema;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HCF: não apresenta potencial de degradação da camada de ozônio: Sua utilização não será interrompida devido ao Protocolo de Montreal;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Compatível com os lubrificantes a base de Óleo Mineral (OM), Alquilbenzeno (AB) ou Poliól Éster (POE): Na maioria dos casos, não é necessário substituir o tipo de lubrificante do sistema;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Permite continuar o uso de equipamentos projetados para HCFCs;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Temperatura de descarga significativamente menor que o R-22: Possível prolongamento da vida útil do compressor;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Potencial de Aquecimento Global (GWP Global Warming Potencial) 30% menor do que o R-404A e R-507;</w:t>
      </w:r>
    </w:p>
    <w:p w:rsidR="00C8137D" w:rsidRPr="00C8137D" w:rsidRDefault="00C8137D" w:rsidP="00C8137D">
      <w:pPr>
        <w:numPr>
          <w:ilvl w:val="0"/>
          <w:numId w:val="21"/>
        </w:numPr>
        <w:spacing w:line="360" w:lineRule="atLeast"/>
        <w:ind w:left="84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Em caso de vazamento, pode-se completar a carga de fluido refrigerante durante o serviço de manutenção sem a remoção de todo o produto (fluido refrigerante), desde que o sistema já esteja com ISCEON™ MO29 e que a carga seja feita na fase líquida.</w:t>
      </w:r>
    </w:p>
    <w:p w:rsidR="00394294" w:rsidRDefault="00394294" w:rsidP="00C8137D">
      <w:pPr>
        <w:spacing w:line="360" w:lineRule="atLeast"/>
        <w:jc w:val="center"/>
        <w:rPr>
          <w:rFonts w:ascii="Trebuchet MS" w:hAnsi="Trebuchet MS"/>
          <w:b/>
          <w:bCs/>
          <w:color w:val="666666"/>
          <w:sz w:val="20"/>
        </w:rPr>
      </w:pPr>
    </w:p>
    <w:p w:rsidR="00394294" w:rsidRDefault="00394294" w:rsidP="00C8137D">
      <w:pPr>
        <w:spacing w:line="360" w:lineRule="atLeast"/>
        <w:jc w:val="center"/>
        <w:rPr>
          <w:rFonts w:ascii="Trebuchet MS" w:hAnsi="Trebuchet MS"/>
          <w:b/>
          <w:bCs/>
          <w:color w:val="666666"/>
          <w:sz w:val="20"/>
        </w:rPr>
      </w:pP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Performance Esperada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(Com base em experiências de campo, testes de calorímetro e dados de propriedades termodinâmicas).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A experiência em campo demonstrou que o ISCEON™ MO29 proporciona capacidade de refrigeração e eficiência energética similares às do R-22 na maioria dos sistemas. A performance real dependerá das condições operacionais e do projeto do equipamento.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Considerações para Retrofit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O ISCEON™ MO29 é compatível com lubrificantes a base de OM, AB e POE, onde na maioria dos casos, não é necessário substituir o tipo de lubrificante utilizado atualmente. O retorno do óleo lubrificante é determinado por condições operacionais e de projeto, sendo que em alguns sistemas com configurações complexas de tubulação, pode ser necessário adicionar POE.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lastRenderedPageBreak/>
        <w:t>Algumas aplicações poderão exigir pequenas alterações no equipamento durante o Retrofit, por exemplo, substituição de vedações e ajustes/substituição da válvula de expansão. Consulte as Diretrizes de Retrofit do ISCEON™ MO29 para obter maiores detalhes.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20"/>
        </w:rPr>
      </w:pPr>
      <w:r w:rsidRPr="00C8137D">
        <w:rPr>
          <w:rFonts w:ascii="Trebuchet MS" w:hAnsi="Trebuchet MS"/>
          <w:b/>
          <w:bCs/>
          <w:color w:val="666666"/>
          <w:sz w:val="20"/>
        </w:rPr>
        <w:t>Segurança</w:t>
      </w:r>
    </w:p>
    <w:p w:rsidR="00C8137D" w:rsidRPr="00C8137D" w:rsidRDefault="00C8137D" w:rsidP="00C8137D">
      <w:pPr>
        <w:spacing w:line="360" w:lineRule="atLeast"/>
        <w:jc w:val="center"/>
        <w:rPr>
          <w:rFonts w:ascii="Trebuchet MS" w:hAnsi="Trebuchet MS"/>
          <w:color w:val="666666"/>
          <w:sz w:val="18"/>
          <w:szCs w:val="18"/>
        </w:rPr>
      </w:pPr>
      <w:r w:rsidRPr="00C8137D">
        <w:rPr>
          <w:rFonts w:ascii="Trebuchet MS" w:hAnsi="Trebuchet MS"/>
          <w:color w:val="666666"/>
          <w:sz w:val="18"/>
          <w:szCs w:val="18"/>
        </w:rPr>
        <w:t>Este fluido refrigerante pode ser utilizado com segurança sob condições normais de uso. O ISCEON™ MO29 recebeu a classificação de segurança ASHRAE A1, similar ao R-22, R-502, R-404A e R-407C. Este fluido não é inflamável e não é tóxico. Consulte a Ficha de Informações de Segurança de Produtos Químicos</w:t>
      </w:r>
      <w:r>
        <w:rPr>
          <w:rFonts w:ascii="Trebuchet MS" w:hAnsi="Trebuchet MS"/>
          <w:color w:val="666666"/>
          <w:sz w:val="18"/>
          <w:szCs w:val="18"/>
        </w:rPr>
        <w:t xml:space="preserve"> (FISPQ) para </w:t>
      </w:r>
    </w:p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Pr="00627DA8" w:rsidRDefault="006D11C3" w:rsidP="00813FD4">
      <w:pPr>
        <w:rPr>
          <w:rFonts w:ascii="Arial" w:hAnsi="Arial" w:cs="Arial"/>
          <w:i/>
          <w:sz w:val="20"/>
          <w:u w:val="single"/>
        </w:rPr>
      </w:pPr>
    </w:p>
    <w:p w:rsidR="00394294" w:rsidRDefault="00394294" w:rsidP="002F185B"/>
    <w:p w:rsidR="00394294" w:rsidRPr="00394294" w:rsidRDefault="00394294" w:rsidP="0039429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r w:rsidRPr="00394294">
        <w:rPr>
          <w:rFonts w:ascii="Helvetica-Bold" w:hAnsi="Helvetica-Bold" w:cs="Helvetica-Bold"/>
          <w:b/>
          <w:bCs/>
          <w:sz w:val="21"/>
          <w:szCs w:val="21"/>
        </w:rPr>
        <w:t>DuPont do Brasil S.A. www.fluidosrefrigerantes.br.dupont.com</w:t>
      </w:r>
    </w:p>
    <w:p w:rsidR="00394294" w:rsidRDefault="00394294" w:rsidP="0039429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:rsidR="00394294" w:rsidRPr="00394294" w:rsidRDefault="00394294" w:rsidP="0039429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r w:rsidRPr="00394294">
        <w:rPr>
          <w:rFonts w:ascii="Helvetica-Bold" w:hAnsi="Helvetica-Bold" w:cs="Helvetica-Bold"/>
          <w:b/>
          <w:bCs/>
          <w:sz w:val="21"/>
          <w:szCs w:val="21"/>
        </w:rPr>
        <w:t>São Paulo, Brasil DuPont TeleSolutions: 0800-17-17-15</w:t>
      </w:r>
    </w:p>
    <w:p w:rsidR="00394294" w:rsidRPr="00394294" w:rsidRDefault="00394294" w:rsidP="00394294">
      <w:r w:rsidRPr="00394294">
        <w:rPr>
          <w:rFonts w:ascii="Helvetica-Bold" w:hAnsi="Helvetica-Bold" w:cs="Helvetica-Bold"/>
          <w:b/>
          <w:bCs/>
          <w:sz w:val="21"/>
          <w:szCs w:val="21"/>
        </w:rPr>
        <w:t>info.brasil@bra.dupont.com</w:t>
      </w:r>
    </w:p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38611D" w:rsidRDefault="0038611D" w:rsidP="002F185B"/>
    <w:p w:rsidR="00394294" w:rsidRDefault="00FB5F42" w:rsidP="002F185B">
      <w:r w:rsidRPr="00FB5F42">
        <w:rPr>
          <w:noProof/>
        </w:rPr>
        <w:lastRenderedPageBreak/>
        <w:drawing>
          <wp:inline distT="0" distB="0" distL="0" distR="0">
            <wp:extent cx="5581015" cy="5708286"/>
            <wp:effectExtent l="19050" t="0" r="635" b="0"/>
            <wp:docPr id="1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7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394294" w:rsidRDefault="00394294" w:rsidP="002F185B"/>
    <w:p w:rsidR="006D11C3" w:rsidRDefault="006D11C3" w:rsidP="002F185B"/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Default="006D11C3" w:rsidP="00813FD4">
      <w:pPr>
        <w:rPr>
          <w:rFonts w:ascii="Arial" w:hAnsi="Arial" w:cs="Arial"/>
          <w:sz w:val="20"/>
        </w:rPr>
      </w:pPr>
    </w:p>
    <w:p w:rsidR="006D11C3" w:rsidRDefault="006D11C3" w:rsidP="00813FD4">
      <w:pPr>
        <w:rPr>
          <w:rFonts w:ascii="Arial" w:hAnsi="Arial" w:cs="Arial"/>
          <w:sz w:val="20"/>
        </w:rPr>
      </w:pPr>
    </w:p>
    <w:p w:rsidR="0033229A" w:rsidRPr="003F199A" w:rsidRDefault="0033229A" w:rsidP="003F732E">
      <w:pPr>
        <w:jc w:val="center"/>
        <w:rPr>
          <w:b/>
          <w:smallCaps/>
          <w:sz w:val="20"/>
          <w:u w:val="single"/>
        </w:rPr>
      </w:pPr>
    </w:p>
    <w:sectPr w:rsidR="0033229A" w:rsidRPr="003F199A" w:rsidSect="00087B34">
      <w:footerReference w:type="even" r:id="rId20"/>
      <w:footerReference w:type="default" r:id="rId21"/>
      <w:pgSz w:w="11907" w:h="16840" w:code="9"/>
      <w:pgMar w:top="2006" w:right="1417" w:bottom="1162" w:left="1701" w:header="993" w:footer="1262" w:gutter="0"/>
      <w:pgNumType w:chapSep="colo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7C" w:rsidRPr="003F199A" w:rsidRDefault="00A4587C">
      <w:pPr>
        <w:rPr>
          <w:sz w:val="22"/>
          <w:szCs w:val="22"/>
        </w:rPr>
      </w:pPr>
      <w:r w:rsidRPr="003F199A">
        <w:rPr>
          <w:sz w:val="22"/>
          <w:szCs w:val="22"/>
        </w:rPr>
        <w:separator/>
      </w:r>
    </w:p>
  </w:endnote>
  <w:endnote w:type="continuationSeparator" w:id="1">
    <w:p w:rsidR="00A4587C" w:rsidRPr="003F199A" w:rsidRDefault="00A4587C">
      <w:pPr>
        <w:rPr>
          <w:sz w:val="22"/>
          <w:szCs w:val="22"/>
        </w:rPr>
      </w:pPr>
      <w:r w:rsidRPr="003F199A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8B" w:rsidRPr="003F199A" w:rsidRDefault="00935865">
    <w:pPr>
      <w:pStyle w:val="Rodap"/>
      <w:framePr w:wrap="around" w:vAnchor="text" w:hAnchor="margin" w:xAlign="right" w:y="1"/>
      <w:rPr>
        <w:rStyle w:val="Nmerodepgina"/>
        <w:sz w:val="20"/>
      </w:rPr>
    </w:pPr>
    <w:r w:rsidRPr="003F199A">
      <w:rPr>
        <w:rStyle w:val="Nmerodepgina"/>
        <w:sz w:val="20"/>
      </w:rPr>
      <w:fldChar w:fldCharType="begin"/>
    </w:r>
    <w:r w:rsidR="0068228B" w:rsidRPr="003F199A">
      <w:rPr>
        <w:rStyle w:val="Nmerodepgina"/>
        <w:sz w:val="20"/>
      </w:rPr>
      <w:instrText xml:space="preserve">PAGE  </w:instrText>
    </w:r>
    <w:r w:rsidRPr="003F199A">
      <w:rPr>
        <w:rStyle w:val="Nmerodepgina"/>
        <w:sz w:val="20"/>
      </w:rPr>
      <w:fldChar w:fldCharType="end"/>
    </w:r>
  </w:p>
  <w:p w:rsidR="0068228B" w:rsidRPr="003F199A" w:rsidRDefault="0068228B">
    <w:pPr>
      <w:pStyle w:val="Rodap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8B" w:rsidRPr="003F199A" w:rsidRDefault="0068228B">
    <w:pPr>
      <w:pBdr>
        <w:top w:val="single" w:sz="6" w:space="1" w:color="auto"/>
      </w:pBdr>
      <w:jc w:val="right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7C" w:rsidRPr="003F199A" w:rsidRDefault="00A4587C">
      <w:pPr>
        <w:rPr>
          <w:sz w:val="22"/>
          <w:szCs w:val="22"/>
        </w:rPr>
      </w:pPr>
      <w:r w:rsidRPr="003F199A">
        <w:rPr>
          <w:sz w:val="22"/>
          <w:szCs w:val="22"/>
        </w:rPr>
        <w:separator/>
      </w:r>
    </w:p>
  </w:footnote>
  <w:footnote w:type="continuationSeparator" w:id="1">
    <w:p w:rsidR="00A4587C" w:rsidRPr="003F199A" w:rsidRDefault="00A4587C">
      <w:pPr>
        <w:rPr>
          <w:sz w:val="22"/>
          <w:szCs w:val="22"/>
        </w:rPr>
      </w:pPr>
      <w:r w:rsidRPr="003F199A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89"/>
    <w:multiLevelType w:val="singleLevel"/>
    <w:tmpl w:val="A35ED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</w:abstractNum>
  <w:abstractNum w:abstractNumId="1">
    <w:nsid w:val="0DB643D9"/>
    <w:multiLevelType w:val="hybridMultilevel"/>
    <w:tmpl w:val="7FCE7782"/>
    <w:lvl w:ilvl="0" w:tplc="59BE2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A4C"/>
    <w:multiLevelType w:val="singleLevel"/>
    <w:tmpl w:val="843A2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</w:abstractNum>
  <w:abstractNum w:abstractNumId="3">
    <w:nsid w:val="12963BC4"/>
    <w:multiLevelType w:val="multilevel"/>
    <w:tmpl w:val="038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6745"/>
    <w:multiLevelType w:val="multilevel"/>
    <w:tmpl w:val="280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5E52"/>
    <w:multiLevelType w:val="hybridMultilevel"/>
    <w:tmpl w:val="54EE84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91A1B"/>
    <w:multiLevelType w:val="multilevel"/>
    <w:tmpl w:val="845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06D80"/>
    <w:multiLevelType w:val="multilevel"/>
    <w:tmpl w:val="1B5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D695C"/>
    <w:multiLevelType w:val="hybridMultilevel"/>
    <w:tmpl w:val="96524B1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A630C"/>
    <w:multiLevelType w:val="hybridMultilevel"/>
    <w:tmpl w:val="BCA812E0"/>
    <w:lvl w:ilvl="0" w:tplc="9C1A1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064E"/>
    <w:multiLevelType w:val="hybridMultilevel"/>
    <w:tmpl w:val="68E48838"/>
    <w:lvl w:ilvl="0" w:tplc="8CA03A14">
      <w:numFmt w:val="bullet"/>
      <w:lvlText w:val=""/>
      <w:lvlJc w:val="left"/>
      <w:pPr>
        <w:ind w:left="135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7852AD8"/>
    <w:multiLevelType w:val="hybridMultilevel"/>
    <w:tmpl w:val="B5CE1A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27DA5"/>
    <w:multiLevelType w:val="hybridMultilevel"/>
    <w:tmpl w:val="03F06E5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C1DB2"/>
    <w:multiLevelType w:val="multilevel"/>
    <w:tmpl w:val="B80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20C14"/>
    <w:multiLevelType w:val="multilevel"/>
    <w:tmpl w:val="AAB8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D0A04"/>
    <w:multiLevelType w:val="hybridMultilevel"/>
    <w:tmpl w:val="93A6C546"/>
    <w:lvl w:ilvl="0" w:tplc="55C6232C">
      <w:start w:val="5"/>
      <w:numFmt w:val="decimal"/>
      <w:lvlText w:val="%1"/>
      <w:lvlJc w:val="left"/>
      <w:pPr>
        <w:ind w:left="928" w:hanging="360"/>
      </w:pPr>
      <w:rPr>
        <w:rFonts w:ascii="Verdana" w:hAnsi="Verdana" w:hint="default"/>
        <w:color w:val="auto"/>
        <w:sz w:val="1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D94516"/>
    <w:multiLevelType w:val="hybridMultilevel"/>
    <w:tmpl w:val="68F027EA"/>
    <w:lvl w:ilvl="0" w:tplc="E874635E">
      <w:start w:val="1"/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44F9"/>
    <w:multiLevelType w:val="multilevel"/>
    <w:tmpl w:val="8F6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55FC7"/>
    <w:multiLevelType w:val="multilevel"/>
    <w:tmpl w:val="5A2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00230"/>
    <w:multiLevelType w:val="hybridMultilevel"/>
    <w:tmpl w:val="83C80B36"/>
    <w:lvl w:ilvl="0" w:tplc="70D05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01F5C"/>
    <w:multiLevelType w:val="hybridMultilevel"/>
    <w:tmpl w:val="04D4ACE6"/>
    <w:lvl w:ilvl="0" w:tplc="513247D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950A4"/>
    <w:multiLevelType w:val="hybridMultilevel"/>
    <w:tmpl w:val="CFF0C5F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83613"/>
    <w:multiLevelType w:val="multilevel"/>
    <w:tmpl w:val="4C221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05965"/>
    <w:multiLevelType w:val="hybridMultilevel"/>
    <w:tmpl w:val="C55261B0"/>
    <w:lvl w:ilvl="0" w:tplc="245653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47E57"/>
    <w:multiLevelType w:val="hybridMultilevel"/>
    <w:tmpl w:val="A5182012"/>
    <w:lvl w:ilvl="0" w:tplc="8A5ED67A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2335AE"/>
    <w:multiLevelType w:val="hybridMultilevel"/>
    <w:tmpl w:val="4E2AF122"/>
    <w:lvl w:ilvl="0" w:tplc="A2A29A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D3C93"/>
    <w:multiLevelType w:val="multilevel"/>
    <w:tmpl w:val="209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D37C6"/>
    <w:multiLevelType w:val="multilevel"/>
    <w:tmpl w:val="CA8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6140D"/>
    <w:multiLevelType w:val="multilevel"/>
    <w:tmpl w:val="EFF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20B45"/>
    <w:multiLevelType w:val="multilevel"/>
    <w:tmpl w:val="F9C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21"/>
  </w:num>
  <w:num w:numId="9">
    <w:abstractNumId w:val="8"/>
  </w:num>
  <w:num w:numId="10">
    <w:abstractNumId w:val="12"/>
  </w:num>
  <w:num w:numId="11">
    <w:abstractNumId w:val="24"/>
  </w:num>
  <w:num w:numId="12">
    <w:abstractNumId w:val="15"/>
  </w:num>
  <w:num w:numId="13">
    <w:abstractNumId w:val="10"/>
  </w:num>
  <w:num w:numId="14">
    <w:abstractNumId w:val="16"/>
  </w:num>
  <w:num w:numId="15">
    <w:abstractNumId w:val="23"/>
  </w:num>
  <w:num w:numId="16">
    <w:abstractNumId w:val="1"/>
  </w:num>
  <w:num w:numId="17">
    <w:abstractNumId w:val="9"/>
  </w:num>
  <w:num w:numId="18">
    <w:abstractNumId w:val="20"/>
  </w:num>
  <w:num w:numId="19">
    <w:abstractNumId w:val="28"/>
  </w:num>
  <w:num w:numId="20">
    <w:abstractNumId w:val="13"/>
  </w:num>
  <w:num w:numId="21">
    <w:abstractNumId w:val="17"/>
  </w:num>
  <w:num w:numId="22">
    <w:abstractNumId w:val="26"/>
  </w:num>
  <w:num w:numId="23">
    <w:abstractNumId w:val="7"/>
  </w:num>
  <w:num w:numId="24">
    <w:abstractNumId w:val="18"/>
  </w:num>
  <w:num w:numId="25">
    <w:abstractNumId w:val="29"/>
  </w:num>
  <w:num w:numId="26">
    <w:abstractNumId w:val="4"/>
  </w:num>
  <w:num w:numId="27">
    <w:abstractNumId w:val="6"/>
  </w:num>
  <w:num w:numId="28">
    <w:abstractNumId w:val="27"/>
  </w:num>
  <w:num w:numId="29">
    <w:abstractNumId w:val="3"/>
  </w:num>
  <w:num w:numId="30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A6912"/>
    <w:rsid w:val="000137A2"/>
    <w:rsid w:val="00024F56"/>
    <w:rsid w:val="00040C6C"/>
    <w:rsid w:val="00042E4E"/>
    <w:rsid w:val="00045520"/>
    <w:rsid w:val="00054333"/>
    <w:rsid w:val="00063175"/>
    <w:rsid w:val="00085136"/>
    <w:rsid w:val="00087B34"/>
    <w:rsid w:val="000A3A0D"/>
    <w:rsid w:val="000A5C53"/>
    <w:rsid w:val="000B0887"/>
    <w:rsid w:val="000B569F"/>
    <w:rsid w:val="000C1839"/>
    <w:rsid w:val="000C23C2"/>
    <w:rsid w:val="000C2670"/>
    <w:rsid w:val="000C4289"/>
    <w:rsid w:val="000C587B"/>
    <w:rsid w:val="000D16D8"/>
    <w:rsid w:val="000E5C8E"/>
    <w:rsid w:val="000F4CBC"/>
    <w:rsid w:val="000F7E15"/>
    <w:rsid w:val="00101639"/>
    <w:rsid w:val="00114367"/>
    <w:rsid w:val="00121A4D"/>
    <w:rsid w:val="001226CD"/>
    <w:rsid w:val="001236EB"/>
    <w:rsid w:val="00137297"/>
    <w:rsid w:val="00144FEF"/>
    <w:rsid w:val="00154A33"/>
    <w:rsid w:val="0015609C"/>
    <w:rsid w:val="00156F30"/>
    <w:rsid w:val="00157D6C"/>
    <w:rsid w:val="00157D70"/>
    <w:rsid w:val="001743D5"/>
    <w:rsid w:val="00177973"/>
    <w:rsid w:val="00177A01"/>
    <w:rsid w:val="00190CBD"/>
    <w:rsid w:val="00195997"/>
    <w:rsid w:val="001963C5"/>
    <w:rsid w:val="001B25B8"/>
    <w:rsid w:val="001C34D6"/>
    <w:rsid w:val="001D4FF9"/>
    <w:rsid w:val="001F0CB1"/>
    <w:rsid w:val="00201A5B"/>
    <w:rsid w:val="00203DC0"/>
    <w:rsid w:val="00205B28"/>
    <w:rsid w:val="00211B33"/>
    <w:rsid w:val="00211BB4"/>
    <w:rsid w:val="002201C2"/>
    <w:rsid w:val="002235CA"/>
    <w:rsid w:val="002330C4"/>
    <w:rsid w:val="0025059E"/>
    <w:rsid w:val="00252179"/>
    <w:rsid w:val="00252B3F"/>
    <w:rsid w:val="002722BE"/>
    <w:rsid w:val="0027313D"/>
    <w:rsid w:val="0027362A"/>
    <w:rsid w:val="0028024E"/>
    <w:rsid w:val="002914AD"/>
    <w:rsid w:val="00291BAB"/>
    <w:rsid w:val="00291C7E"/>
    <w:rsid w:val="002A14E0"/>
    <w:rsid w:val="002A4CF7"/>
    <w:rsid w:val="002A55B6"/>
    <w:rsid w:val="002A6F0F"/>
    <w:rsid w:val="002B0D5A"/>
    <w:rsid w:val="002B13AC"/>
    <w:rsid w:val="002B4322"/>
    <w:rsid w:val="002B6D87"/>
    <w:rsid w:val="002C0290"/>
    <w:rsid w:val="002C28AD"/>
    <w:rsid w:val="002E4ACA"/>
    <w:rsid w:val="002F185B"/>
    <w:rsid w:val="002F1BF4"/>
    <w:rsid w:val="00311554"/>
    <w:rsid w:val="00315A56"/>
    <w:rsid w:val="00326D0C"/>
    <w:rsid w:val="0033229A"/>
    <w:rsid w:val="00332335"/>
    <w:rsid w:val="00332EDA"/>
    <w:rsid w:val="00340566"/>
    <w:rsid w:val="003425E2"/>
    <w:rsid w:val="0034342A"/>
    <w:rsid w:val="00345F2A"/>
    <w:rsid w:val="003627A8"/>
    <w:rsid w:val="003715B6"/>
    <w:rsid w:val="00382B71"/>
    <w:rsid w:val="003839A6"/>
    <w:rsid w:val="0038611D"/>
    <w:rsid w:val="003903FA"/>
    <w:rsid w:val="00394294"/>
    <w:rsid w:val="003A3C72"/>
    <w:rsid w:val="003A6A8D"/>
    <w:rsid w:val="003D25F4"/>
    <w:rsid w:val="003D54AA"/>
    <w:rsid w:val="003E1E6F"/>
    <w:rsid w:val="003E27F8"/>
    <w:rsid w:val="003F199A"/>
    <w:rsid w:val="003F353A"/>
    <w:rsid w:val="003F732E"/>
    <w:rsid w:val="00410225"/>
    <w:rsid w:val="004236CE"/>
    <w:rsid w:val="004257D7"/>
    <w:rsid w:val="004320BE"/>
    <w:rsid w:val="00460FA8"/>
    <w:rsid w:val="00465D69"/>
    <w:rsid w:val="00484399"/>
    <w:rsid w:val="00486A8D"/>
    <w:rsid w:val="004916AD"/>
    <w:rsid w:val="004A11D4"/>
    <w:rsid w:val="004A532F"/>
    <w:rsid w:val="004A6912"/>
    <w:rsid w:val="004A6A81"/>
    <w:rsid w:val="004D2C7A"/>
    <w:rsid w:val="004F0741"/>
    <w:rsid w:val="004F129E"/>
    <w:rsid w:val="00504D44"/>
    <w:rsid w:val="00521C54"/>
    <w:rsid w:val="005412BF"/>
    <w:rsid w:val="00543555"/>
    <w:rsid w:val="00551A54"/>
    <w:rsid w:val="00552516"/>
    <w:rsid w:val="00557A22"/>
    <w:rsid w:val="00574920"/>
    <w:rsid w:val="00576DB0"/>
    <w:rsid w:val="00594D3E"/>
    <w:rsid w:val="005A4D98"/>
    <w:rsid w:val="005A72DE"/>
    <w:rsid w:val="005B66C5"/>
    <w:rsid w:val="005C0231"/>
    <w:rsid w:val="005C4452"/>
    <w:rsid w:val="005F2553"/>
    <w:rsid w:val="005F5128"/>
    <w:rsid w:val="005F6FC4"/>
    <w:rsid w:val="006102F0"/>
    <w:rsid w:val="00627DA8"/>
    <w:rsid w:val="006358E8"/>
    <w:rsid w:val="00637A6E"/>
    <w:rsid w:val="00645B77"/>
    <w:rsid w:val="006546D3"/>
    <w:rsid w:val="006663E1"/>
    <w:rsid w:val="006745DE"/>
    <w:rsid w:val="0068228B"/>
    <w:rsid w:val="0069484D"/>
    <w:rsid w:val="00694F5E"/>
    <w:rsid w:val="0069760B"/>
    <w:rsid w:val="006A2980"/>
    <w:rsid w:val="006B47E0"/>
    <w:rsid w:val="006B6243"/>
    <w:rsid w:val="006D11C3"/>
    <w:rsid w:val="006D1EA9"/>
    <w:rsid w:val="006D3D2B"/>
    <w:rsid w:val="006D63DE"/>
    <w:rsid w:val="006D6A92"/>
    <w:rsid w:val="006E48FF"/>
    <w:rsid w:val="006F1F9F"/>
    <w:rsid w:val="007172D9"/>
    <w:rsid w:val="007201CE"/>
    <w:rsid w:val="007214CA"/>
    <w:rsid w:val="007232BF"/>
    <w:rsid w:val="0072677A"/>
    <w:rsid w:val="00735658"/>
    <w:rsid w:val="00746F6A"/>
    <w:rsid w:val="00753FFD"/>
    <w:rsid w:val="0076127D"/>
    <w:rsid w:val="0076237A"/>
    <w:rsid w:val="00767015"/>
    <w:rsid w:val="007B4955"/>
    <w:rsid w:val="007B4EC3"/>
    <w:rsid w:val="007C060E"/>
    <w:rsid w:val="007C1AF2"/>
    <w:rsid w:val="007F038D"/>
    <w:rsid w:val="007F3658"/>
    <w:rsid w:val="0080273D"/>
    <w:rsid w:val="008070D4"/>
    <w:rsid w:val="00813FD4"/>
    <w:rsid w:val="008171D1"/>
    <w:rsid w:val="00832DFB"/>
    <w:rsid w:val="00834300"/>
    <w:rsid w:val="008419AB"/>
    <w:rsid w:val="00847DA2"/>
    <w:rsid w:val="008509C1"/>
    <w:rsid w:val="0085168F"/>
    <w:rsid w:val="0087093D"/>
    <w:rsid w:val="00872253"/>
    <w:rsid w:val="00884BF6"/>
    <w:rsid w:val="008B3617"/>
    <w:rsid w:val="008C223D"/>
    <w:rsid w:val="008C69B6"/>
    <w:rsid w:val="008C707B"/>
    <w:rsid w:val="008D0C03"/>
    <w:rsid w:val="008D7698"/>
    <w:rsid w:val="008E642B"/>
    <w:rsid w:val="008F1D63"/>
    <w:rsid w:val="0090157C"/>
    <w:rsid w:val="00903E50"/>
    <w:rsid w:val="009158A0"/>
    <w:rsid w:val="00917CB5"/>
    <w:rsid w:val="00922F8E"/>
    <w:rsid w:val="00924F0B"/>
    <w:rsid w:val="00925762"/>
    <w:rsid w:val="00935331"/>
    <w:rsid w:val="00935865"/>
    <w:rsid w:val="0095132D"/>
    <w:rsid w:val="00963551"/>
    <w:rsid w:val="00985FA6"/>
    <w:rsid w:val="00993B1C"/>
    <w:rsid w:val="009A4CF0"/>
    <w:rsid w:val="009B24A1"/>
    <w:rsid w:val="009B4B85"/>
    <w:rsid w:val="009C5A84"/>
    <w:rsid w:val="009C6083"/>
    <w:rsid w:val="009D27C8"/>
    <w:rsid w:val="009D7DD2"/>
    <w:rsid w:val="009E2883"/>
    <w:rsid w:val="009E5700"/>
    <w:rsid w:val="009F491E"/>
    <w:rsid w:val="00A105A7"/>
    <w:rsid w:val="00A11CF9"/>
    <w:rsid w:val="00A13885"/>
    <w:rsid w:val="00A171A4"/>
    <w:rsid w:val="00A316C6"/>
    <w:rsid w:val="00A33A88"/>
    <w:rsid w:val="00A4434E"/>
    <w:rsid w:val="00A4587C"/>
    <w:rsid w:val="00A564B3"/>
    <w:rsid w:val="00A6028D"/>
    <w:rsid w:val="00A61325"/>
    <w:rsid w:val="00A705EE"/>
    <w:rsid w:val="00A70855"/>
    <w:rsid w:val="00A8761C"/>
    <w:rsid w:val="00A9335B"/>
    <w:rsid w:val="00AA2E98"/>
    <w:rsid w:val="00AB58BF"/>
    <w:rsid w:val="00AC1ADD"/>
    <w:rsid w:val="00AC460E"/>
    <w:rsid w:val="00AD10CF"/>
    <w:rsid w:val="00AD2ED7"/>
    <w:rsid w:val="00AD3CEF"/>
    <w:rsid w:val="00AE54AC"/>
    <w:rsid w:val="00AE6CC2"/>
    <w:rsid w:val="00AF6F55"/>
    <w:rsid w:val="00B07B43"/>
    <w:rsid w:val="00B10C37"/>
    <w:rsid w:val="00B15175"/>
    <w:rsid w:val="00B207F8"/>
    <w:rsid w:val="00B23F75"/>
    <w:rsid w:val="00B3032E"/>
    <w:rsid w:val="00B34341"/>
    <w:rsid w:val="00B62089"/>
    <w:rsid w:val="00B6722D"/>
    <w:rsid w:val="00BA69FD"/>
    <w:rsid w:val="00BB1187"/>
    <w:rsid w:val="00BB588C"/>
    <w:rsid w:val="00BB777D"/>
    <w:rsid w:val="00BC324D"/>
    <w:rsid w:val="00BC5A36"/>
    <w:rsid w:val="00BD6CA5"/>
    <w:rsid w:val="00BD7464"/>
    <w:rsid w:val="00BE2D5B"/>
    <w:rsid w:val="00BE4D51"/>
    <w:rsid w:val="00C101A1"/>
    <w:rsid w:val="00C13787"/>
    <w:rsid w:val="00C253EC"/>
    <w:rsid w:val="00C2703D"/>
    <w:rsid w:val="00C306DB"/>
    <w:rsid w:val="00C3560C"/>
    <w:rsid w:val="00C4704F"/>
    <w:rsid w:val="00C52F07"/>
    <w:rsid w:val="00C66911"/>
    <w:rsid w:val="00C67DFC"/>
    <w:rsid w:val="00C71EB7"/>
    <w:rsid w:val="00C73BA1"/>
    <w:rsid w:val="00C8137D"/>
    <w:rsid w:val="00CA0E81"/>
    <w:rsid w:val="00CB1277"/>
    <w:rsid w:val="00CC023B"/>
    <w:rsid w:val="00CC2F34"/>
    <w:rsid w:val="00CD3294"/>
    <w:rsid w:val="00CD77DB"/>
    <w:rsid w:val="00CE19AF"/>
    <w:rsid w:val="00CE3805"/>
    <w:rsid w:val="00CE58DC"/>
    <w:rsid w:val="00CF1EBB"/>
    <w:rsid w:val="00CF342B"/>
    <w:rsid w:val="00D1068C"/>
    <w:rsid w:val="00D21A4E"/>
    <w:rsid w:val="00D22F1D"/>
    <w:rsid w:val="00D50C53"/>
    <w:rsid w:val="00D63027"/>
    <w:rsid w:val="00D654F6"/>
    <w:rsid w:val="00D707AC"/>
    <w:rsid w:val="00DA303B"/>
    <w:rsid w:val="00DB1747"/>
    <w:rsid w:val="00DC0287"/>
    <w:rsid w:val="00DC1296"/>
    <w:rsid w:val="00DC3189"/>
    <w:rsid w:val="00DD56D9"/>
    <w:rsid w:val="00DE3ECA"/>
    <w:rsid w:val="00DF0013"/>
    <w:rsid w:val="00DF4ACE"/>
    <w:rsid w:val="00DF6AA2"/>
    <w:rsid w:val="00E02B58"/>
    <w:rsid w:val="00E238D7"/>
    <w:rsid w:val="00E31806"/>
    <w:rsid w:val="00E327F1"/>
    <w:rsid w:val="00E42B59"/>
    <w:rsid w:val="00E47E09"/>
    <w:rsid w:val="00E51835"/>
    <w:rsid w:val="00E52546"/>
    <w:rsid w:val="00E5556A"/>
    <w:rsid w:val="00E62648"/>
    <w:rsid w:val="00E80C0F"/>
    <w:rsid w:val="00E82D84"/>
    <w:rsid w:val="00E83CC2"/>
    <w:rsid w:val="00E84B77"/>
    <w:rsid w:val="00E900DE"/>
    <w:rsid w:val="00E929BF"/>
    <w:rsid w:val="00EB4760"/>
    <w:rsid w:val="00EC698C"/>
    <w:rsid w:val="00ED76B7"/>
    <w:rsid w:val="00EE23E7"/>
    <w:rsid w:val="00EF4772"/>
    <w:rsid w:val="00F00CAE"/>
    <w:rsid w:val="00F01E09"/>
    <w:rsid w:val="00F07286"/>
    <w:rsid w:val="00F110F5"/>
    <w:rsid w:val="00F21451"/>
    <w:rsid w:val="00F24685"/>
    <w:rsid w:val="00F26C90"/>
    <w:rsid w:val="00F36D79"/>
    <w:rsid w:val="00F42D7F"/>
    <w:rsid w:val="00F4336A"/>
    <w:rsid w:val="00F57260"/>
    <w:rsid w:val="00F72BCA"/>
    <w:rsid w:val="00F77D17"/>
    <w:rsid w:val="00F873A6"/>
    <w:rsid w:val="00F90206"/>
    <w:rsid w:val="00F941F3"/>
    <w:rsid w:val="00FA7E2E"/>
    <w:rsid w:val="00FB1F1F"/>
    <w:rsid w:val="00FB5BFC"/>
    <w:rsid w:val="00FB5F42"/>
    <w:rsid w:val="00FC1ED7"/>
    <w:rsid w:val="00FC49B9"/>
    <w:rsid w:val="00FE7E06"/>
    <w:rsid w:val="00FF3859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FF9"/>
    <w:rPr>
      <w:sz w:val="26"/>
    </w:rPr>
  </w:style>
  <w:style w:type="paragraph" w:styleId="Ttulo1">
    <w:name w:val="heading 1"/>
    <w:basedOn w:val="Normal"/>
    <w:next w:val="Normal"/>
    <w:qFormat/>
    <w:rsid w:val="001D4F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D4FF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D4FF9"/>
    <w:pPr>
      <w:keepNext/>
      <w:jc w:val="both"/>
      <w:outlineLvl w:val="2"/>
    </w:pPr>
    <w:rPr>
      <w:rFonts w:ascii="Arial" w:hAnsi="Arial"/>
      <w:b/>
      <w:i/>
      <w:sz w:val="20"/>
    </w:rPr>
  </w:style>
  <w:style w:type="paragraph" w:styleId="Ttulo4">
    <w:name w:val="heading 4"/>
    <w:basedOn w:val="Normal"/>
    <w:next w:val="Normal"/>
    <w:qFormat/>
    <w:rsid w:val="001D4FF9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1D4FF9"/>
    <w:pPr>
      <w:keepNext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rsid w:val="001D4FF9"/>
    <w:pPr>
      <w:keepNext/>
      <w:outlineLvl w:val="5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qFormat/>
    <w:rsid w:val="001D4FF9"/>
    <w:pPr>
      <w:keepNext/>
      <w:jc w:val="right"/>
      <w:outlineLvl w:val="6"/>
    </w:pPr>
    <w:rPr>
      <w:rFonts w:ascii="Arial" w:hAnsi="Arial"/>
      <w:b/>
      <w:i/>
      <w:sz w:val="28"/>
    </w:rPr>
  </w:style>
  <w:style w:type="paragraph" w:styleId="Ttulo8">
    <w:name w:val="heading 8"/>
    <w:basedOn w:val="Normal"/>
    <w:next w:val="Normal"/>
    <w:qFormat/>
    <w:rsid w:val="001D4FF9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1D4FF9"/>
    <w:pPr>
      <w:keepNext/>
      <w:pBdr>
        <w:top w:val="single" w:sz="6" w:space="1" w:color="auto"/>
      </w:pBdr>
      <w:jc w:val="center"/>
      <w:outlineLvl w:val="8"/>
    </w:pPr>
    <w:rPr>
      <w:rFonts w:ascii="Arial" w:hAnsi="Arial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D4F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4FF9"/>
  </w:style>
  <w:style w:type="paragraph" w:styleId="Cabealho">
    <w:name w:val="header"/>
    <w:basedOn w:val="Normal"/>
    <w:link w:val="CabealhoChar"/>
    <w:rsid w:val="001D4FF9"/>
    <w:pPr>
      <w:tabs>
        <w:tab w:val="center" w:pos="4320"/>
        <w:tab w:val="right" w:pos="8640"/>
      </w:tabs>
    </w:pPr>
  </w:style>
  <w:style w:type="paragraph" w:styleId="Lista">
    <w:name w:val="List"/>
    <w:basedOn w:val="Normal"/>
    <w:rsid w:val="001D4FF9"/>
    <w:pPr>
      <w:ind w:left="283" w:hanging="283"/>
    </w:pPr>
  </w:style>
  <w:style w:type="paragraph" w:styleId="Lista2">
    <w:name w:val="List 2"/>
    <w:basedOn w:val="Normal"/>
    <w:rsid w:val="001D4FF9"/>
    <w:pPr>
      <w:ind w:left="566" w:hanging="283"/>
    </w:pPr>
  </w:style>
  <w:style w:type="paragraph" w:styleId="Lista3">
    <w:name w:val="List 3"/>
    <w:basedOn w:val="Normal"/>
    <w:rsid w:val="001D4FF9"/>
    <w:pPr>
      <w:ind w:left="849" w:hanging="283"/>
    </w:pPr>
  </w:style>
  <w:style w:type="paragraph" w:styleId="Encerramento">
    <w:name w:val="Closing"/>
    <w:basedOn w:val="Normal"/>
    <w:rsid w:val="001D4FF9"/>
    <w:pPr>
      <w:ind w:left="4252"/>
    </w:pPr>
  </w:style>
  <w:style w:type="paragraph" w:styleId="Commarcadores2">
    <w:name w:val="List Bullet 2"/>
    <w:basedOn w:val="Normal"/>
    <w:rsid w:val="001D4FF9"/>
    <w:pPr>
      <w:ind w:left="566" w:hanging="283"/>
    </w:pPr>
  </w:style>
  <w:style w:type="paragraph" w:styleId="Commarcadores4">
    <w:name w:val="List Bullet 4"/>
    <w:basedOn w:val="Normal"/>
    <w:rsid w:val="001D4FF9"/>
    <w:pPr>
      <w:ind w:left="1132" w:hanging="283"/>
    </w:pPr>
  </w:style>
  <w:style w:type="paragraph" w:styleId="Commarcadores5">
    <w:name w:val="List Bullet 5"/>
    <w:basedOn w:val="Normal"/>
    <w:rsid w:val="001D4FF9"/>
    <w:pPr>
      <w:ind w:left="1415" w:hanging="283"/>
    </w:pPr>
  </w:style>
  <w:style w:type="paragraph" w:styleId="Listadecontinuao">
    <w:name w:val="List Continue"/>
    <w:basedOn w:val="Normal"/>
    <w:rsid w:val="001D4FF9"/>
    <w:pPr>
      <w:spacing w:after="120"/>
      <w:ind w:left="283"/>
    </w:pPr>
  </w:style>
  <w:style w:type="paragraph" w:styleId="Listadecontinuao2">
    <w:name w:val="List Continue 2"/>
    <w:basedOn w:val="Normal"/>
    <w:rsid w:val="001D4FF9"/>
    <w:pPr>
      <w:spacing w:after="120"/>
      <w:ind w:left="566"/>
    </w:pPr>
  </w:style>
  <w:style w:type="paragraph" w:styleId="Listadecontinuao3">
    <w:name w:val="List Continue 3"/>
    <w:basedOn w:val="Normal"/>
    <w:rsid w:val="001D4FF9"/>
    <w:pPr>
      <w:spacing w:after="120"/>
      <w:ind w:left="849"/>
    </w:pPr>
  </w:style>
  <w:style w:type="paragraph" w:styleId="Assinatura">
    <w:name w:val="Signature"/>
    <w:basedOn w:val="Normal"/>
    <w:rsid w:val="001D4FF9"/>
    <w:pPr>
      <w:ind w:left="4252"/>
    </w:pPr>
  </w:style>
  <w:style w:type="paragraph" w:styleId="Corpodetexto">
    <w:name w:val="Body Text"/>
    <w:basedOn w:val="Normal"/>
    <w:rsid w:val="001D4FF9"/>
    <w:pPr>
      <w:spacing w:after="120"/>
    </w:pPr>
  </w:style>
  <w:style w:type="paragraph" w:styleId="Recuodecorpodetexto">
    <w:name w:val="Body Text Indent"/>
    <w:basedOn w:val="Normal"/>
    <w:rsid w:val="001D4FF9"/>
    <w:pPr>
      <w:spacing w:after="120"/>
      <w:ind w:left="283"/>
    </w:pPr>
  </w:style>
  <w:style w:type="paragraph" w:styleId="Corpodetexto2">
    <w:name w:val="Body Text 2"/>
    <w:basedOn w:val="Normal"/>
    <w:rsid w:val="001D4FF9"/>
    <w:pPr>
      <w:jc w:val="both"/>
    </w:pPr>
    <w:rPr>
      <w:rFonts w:ascii="Arial" w:hAnsi="Arial"/>
      <w:b/>
      <w:sz w:val="20"/>
    </w:rPr>
  </w:style>
  <w:style w:type="character" w:styleId="Hyperlink">
    <w:name w:val="Hyperlink"/>
    <w:basedOn w:val="Fontepargpadro"/>
    <w:rsid w:val="001D4FF9"/>
    <w:rPr>
      <w:color w:val="0000FF"/>
      <w:u w:val="single"/>
    </w:rPr>
  </w:style>
  <w:style w:type="paragraph" w:styleId="Corpodetexto3">
    <w:name w:val="Body Text 3"/>
    <w:basedOn w:val="Normal"/>
    <w:rsid w:val="001D4FF9"/>
    <w:pPr>
      <w:jc w:val="both"/>
    </w:pPr>
    <w:rPr>
      <w:rFonts w:ascii="Arial" w:hAnsi="Arial"/>
      <w:sz w:val="20"/>
    </w:rPr>
  </w:style>
  <w:style w:type="paragraph" w:customStyle="1" w:styleId="BodyTextKeep">
    <w:name w:val="Body Text Keep"/>
    <w:basedOn w:val="Corpodetexto"/>
    <w:rsid w:val="001D4FF9"/>
    <w:pPr>
      <w:keepNext/>
      <w:spacing w:after="0"/>
    </w:pPr>
    <w:rPr>
      <w:sz w:val="24"/>
      <w:lang w:val="en-US"/>
    </w:rPr>
  </w:style>
  <w:style w:type="paragraph" w:styleId="Recuodecorpodetexto2">
    <w:name w:val="Body Text Indent 2"/>
    <w:basedOn w:val="Normal"/>
    <w:rsid w:val="001D4FF9"/>
    <w:pPr>
      <w:ind w:left="-567" w:firstLine="1275"/>
    </w:pPr>
    <w:rPr>
      <w:b/>
      <w:i/>
      <w:color w:val="000080"/>
      <w:sz w:val="28"/>
    </w:rPr>
  </w:style>
  <w:style w:type="paragraph" w:styleId="Recuodecorpodetexto3">
    <w:name w:val="Body Text Indent 3"/>
    <w:basedOn w:val="Normal"/>
    <w:rsid w:val="001D4FF9"/>
    <w:pPr>
      <w:ind w:firstLine="851"/>
      <w:jc w:val="both"/>
    </w:pPr>
    <w:rPr>
      <w:b/>
      <w:sz w:val="24"/>
      <w:lang w:val="en-US"/>
    </w:rPr>
  </w:style>
  <w:style w:type="paragraph" w:customStyle="1" w:styleId="Cargodaassinatura">
    <w:name w:val="Cargo da assinatura"/>
    <w:basedOn w:val="Assinatura"/>
    <w:next w:val="Normal"/>
    <w:rsid w:val="001D4FF9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customStyle="1" w:styleId="Nomedoendereointerno">
    <w:name w:val="Nome do endereço interno"/>
    <w:basedOn w:val="Normal"/>
    <w:rsid w:val="001D4FF9"/>
    <w:pPr>
      <w:spacing w:before="220" w:line="220" w:lineRule="atLeast"/>
    </w:pPr>
    <w:rPr>
      <w:rFonts w:ascii="Arial" w:hAnsi="Arial"/>
      <w:spacing w:val="-5"/>
      <w:sz w:val="20"/>
    </w:rPr>
  </w:style>
  <w:style w:type="paragraph" w:customStyle="1" w:styleId="Nomedaempresa">
    <w:name w:val="Nome da empresa"/>
    <w:basedOn w:val="Normal"/>
    <w:rsid w:val="001D4FF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Saudao2">
    <w:name w:val="Saudação 2"/>
    <w:basedOn w:val="Normal"/>
    <w:next w:val="Normal"/>
    <w:rsid w:val="001D4FF9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customStyle="1" w:styleId="Endereodoremetente">
    <w:name w:val="Endereço do remetente"/>
    <w:basedOn w:val="Normal"/>
    <w:rsid w:val="001D4FF9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Basedettulo">
    <w:name w:val="Base de título"/>
    <w:basedOn w:val="Normal"/>
    <w:next w:val="Corpodetexto"/>
    <w:rsid w:val="001D4FF9"/>
    <w:pPr>
      <w:keepNext/>
      <w:keepLines/>
      <w:widowControl w:val="0"/>
      <w:spacing w:line="220" w:lineRule="auto"/>
      <w:jc w:val="both"/>
    </w:pPr>
    <w:rPr>
      <w:rFonts w:ascii="Arial Black" w:hAnsi="Arial Black"/>
      <w:spacing w:val="-10"/>
      <w:kern w:val="20"/>
      <w:sz w:val="20"/>
    </w:rPr>
  </w:style>
  <w:style w:type="paragraph" w:styleId="Legenda">
    <w:name w:val="caption"/>
    <w:basedOn w:val="Normal"/>
    <w:next w:val="Normal"/>
    <w:qFormat/>
    <w:rsid w:val="001D4FF9"/>
    <w:pPr>
      <w:jc w:val="both"/>
    </w:pPr>
    <w:rPr>
      <w:smallCaps/>
      <w:sz w:val="24"/>
      <w:u w:val="single"/>
    </w:rPr>
  </w:style>
  <w:style w:type="table" w:styleId="Tabelacomgrade">
    <w:name w:val="Table Grid"/>
    <w:basedOn w:val="Tabelanormal"/>
    <w:rsid w:val="00D2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7225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C73BA1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B6D87"/>
    <w:pPr>
      <w:ind w:left="708"/>
    </w:pPr>
  </w:style>
  <w:style w:type="character" w:customStyle="1" w:styleId="CabealhoChar">
    <w:name w:val="Cabeçalho Char"/>
    <w:basedOn w:val="Fontepargpadro"/>
    <w:link w:val="Cabealho"/>
    <w:rsid w:val="00A13885"/>
    <w:rPr>
      <w:sz w:val="26"/>
    </w:rPr>
  </w:style>
  <w:style w:type="character" w:styleId="Forte">
    <w:name w:val="Strong"/>
    <w:basedOn w:val="Fontepargpadro"/>
    <w:uiPriority w:val="22"/>
    <w:qFormat/>
    <w:rsid w:val="00627DA8"/>
    <w:rPr>
      <w:b/>
      <w:bCs/>
    </w:rPr>
  </w:style>
  <w:style w:type="paragraph" w:styleId="Ttulo">
    <w:name w:val="Title"/>
    <w:basedOn w:val="Normal"/>
    <w:next w:val="Normal"/>
    <w:link w:val="TtuloChar"/>
    <w:qFormat/>
    <w:rsid w:val="00627D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627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627D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27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85B"/>
    <w:pPr>
      <w:spacing w:before="100" w:beforeAutospacing="1" w:after="100" w:afterAutospacing="1"/>
    </w:pPr>
    <w:rPr>
      <w:sz w:val="24"/>
      <w:szCs w:val="24"/>
    </w:rPr>
  </w:style>
  <w:style w:type="paragraph" w:customStyle="1" w:styleId="largetext5">
    <w:name w:val="largetext5"/>
    <w:basedOn w:val="Normal"/>
    <w:rsid w:val="00C8137D"/>
    <w:pPr>
      <w:spacing w:line="360" w:lineRule="atLeast"/>
    </w:pPr>
    <w:rPr>
      <w:rFonts w:ascii="Trebuchet MS" w:hAnsi="Trebuchet MS"/>
      <w:color w:val="666666"/>
      <w:sz w:val="20"/>
    </w:rPr>
  </w:style>
  <w:style w:type="paragraph" w:customStyle="1" w:styleId="western">
    <w:name w:val="western"/>
    <w:basedOn w:val="Normal"/>
    <w:rsid w:val="0068228B"/>
    <w:pPr>
      <w:spacing w:before="100" w:beforeAutospacing="1" w:after="100" w:afterAutospacing="1"/>
    </w:pPr>
    <w:rPr>
      <w:sz w:val="24"/>
      <w:szCs w:val="24"/>
    </w:rPr>
  </w:style>
  <w:style w:type="paragraph" w:customStyle="1" w:styleId="manualcorptab-western">
    <w:name w:val="manualcorptab-western"/>
    <w:basedOn w:val="Normal"/>
    <w:rsid w:val="006822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94F5E"/>
  </w:style>
  <w:style w:type="paragraph" w:customStyle="1" w:styleId="artart">
    <w:name w:val="artart"/>
    <w:basedOn w:val="Normal"/>
    <w:rsid w:val="00694F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5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715">
      <w:bodyDiv w:val="1"/>
      <w:marLeft w:val="0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048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meio-ambiente/protocolo-de-montreal/" TargetMode="External"/><Relationship Id="rId13" Type="http://schemas.openxmlformats.org/officeDocument/2006/relationships/hyperlink" Target="https://www.planalto.gov.br/ccivil_03/_Ato2007-2010/2010/Lei/L12305.htm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infoescola.com/meio-ambiente/protocolo-de-montreal/" TargetMode="External"/><Relationship Id="rId12" Type="http://schemas.openxmlformats.org/officeDocument/2006/relationships/hyperlink" Target="http://www.infoescola.com/meio-ambiente/protocolo-de-montreal/" TargetMode="External"/><Relationship Id="rId17" Type="http://schemas.openxmlformats.org/officeDocument/2006/relationships/hyperlink" Target="https://www.planalto.gov.br/ccivil_03/Leis/Mensagem_Veto/1998/Vep181-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Leis/Mensagem_Veto/1998/Vep181-98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escola.com/saude/anvis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07-2010/2010/Lei/L1230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escola.com/meio-ambiente/protocolo-de-montreal/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elementos-quimicos/fluor/" TargetMode="External"/><Relationship Id="rId14" Type="http://schemas.openxmlformats.org/officeDocument/2006/relationships/hyperlink" Target="https://www.planalto.gov.br/ccivil_03/_Ato2007-2010/2010/Lei/L1230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2813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30 de outubro de 1995.</vt:lpstr>
    </vt:vector>
  </TitlesOfParts>
  <Company>Springer Carrier S.A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30 de outubro de 1995.</dc:title>
  <dc:creator>mamarante</dc:creator>
  <cp:lastModifiedBy>Bruno Castro</cp:lastModifiedBy>
  <cp:revision>8</cp:revision>
  <cp:lastPrinted>2010-12-03T11:35:00Z</cp:lastPrinted>
  <dcterms:created xsi:type="dcterms:W3CDTF">2011-10-23T02:25:00Z</dcterms:created>
  <dcterms:modified xsi:type="dcterms:W3CDTF">2012-01-01T18:09:00Z</dcterms:modified>
</cp:coreProperties>
</file>